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13994" w:type="dxa"/>
        <w:tblLook w:val="04A0" w:firstRow="1" w:lastRow="0" w:firstColumn="1" w:lastColumn="0" w:noHBand="0" w:noVBand="1"/>
      </w:tblPr>
      <w:tblGrid>
        <w:gridCol w:w="4495"/>
        <w:gridCol w:w="4765"/>
        <w:gridCol w:w="4734"/>
      </w:tblGrid>
      <w:tr w:rsidR="00D37D80" w:rsidRPr="00E66FBE" w:rsidTr="000602BA">
        <w:tc>
          <w:tcPr>
            <w:tcW w:w="13994" w:type="dxa"/>
            <w:gridSpan w:val="3"/>
          </w:tcPr>
          <w:p w:rsidR="00D37D80" w:rsidRPr="00E66FBE" w:rsidRDefault="00D37D80" w:rsidP="00E07D5C">
            <w:pPr>
              <w:jc w:val="center"/>
              <w:rPr>
                <w:b/>
              </w:rPr>
            </w:pPr>
            <w:r w:rsidRPr="00315F86">
              <w:rPr>
                <w:b/>
                <w:sz w:val="28"/>
              </w:rPr>
              <w:t>QUADRO PADRONIZADO PARA APRESENTAÇÃO DE SUGESTÕES E COMENTÁRIOS</w:t>
            </w:r>
          </w:p>
        </w:tc>
      </w:tr>
      <w:tr w:rsidR="00D37D80" w:rsidRPr="00E66FBE" w:rsidTr="00DC64E0">
        <w:tc>
          <w:tcPr>
            <w:tcW w:w="13994" w:type="dxa"/>
            <w:gridSpan w:val="3"/>
          </w:tcPr>
          <w:p w:rsidR="00D37D80" w:rsidRPr="00D37D80" w:rsidRDefault="00D37D80" w:rsidP="00D37D80">
            <w:pPr>
              <w:jc w:val="both"/>
              <w:rPr>
                <w:sz w:val="24"/>
                <w:szCs w:val="24"/>
              </w:rPr>
            </w:pPr>
            <w:r w:rsidRPr="00D37D80">
              <w:rPr>
                <w:sz w:val="24"/>
                <w:szCs w:val="24"/>
              </w:rPr>
              <w:t>Remetente:</w:t>
            </w:r>
          </w:p>
          <w:p w:rsidR="00D37D80" w:rsidRPr="00D37D80" w:rsidRDefault="00D37D80" w:rsidP="00D37D80">
            <w:pPr>
              <w:rPr>
                <w:b/>
                <w:sz w:val="24"/>
                <w:szCs w:val="24"/>
              </w:rPr>
            </w:pPr>
            <w:r w:rsidRPr="00D37D80">
              <w:rPr>
                <w:sz w:val="24"/>
                <w:szCs w:val="24"/>
              </w:rPr>
              <w:t>Signatário:</w:t>
            </w:r>
          </w:p>
        </w:tc>
      </w:tr>
      <w:tr w:rsidR="00D37D80" w:rsidRPr="00E66FBE" w:rsidTr="00D37D80">
        <w:tc>
          <w:tcPr>
            <w:tcW w:w="4495" w:type="dxa"/>
          </w:tcPr>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t>MINUTA</w:t>
            </w:r>
          </w:p>
        </w:tc>
        <w:tc>
          <w:tcPr>
            <w:tcW w:w="4765" w:type="dxa"/>
          </w:tcPr>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t>SUGESTÃO DE ALTERAÇÃO</w:t>
            </w:r>
          </w:p>
        </w:tc>
        <w:tc>
          <w:tcPr>
            <w:tcW w:w="4734" w:type="dxa"/>
          </w:tcPr>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t>JUSTIFICATIVA OU COMENTÁRIO</w:t>
            </w:r>
          </w:p>
        </w:tc>
      </w:tr>
      <w:tr w:rsidR="00D37D80" w:rsidRPr="00E66FBE" w:rsidTr="00D37D80">
        <w:tc>
          <w:tcPr>
            <w:tcW w:w="4495" w:type="dxa"/>
          </w:tcPr>
          <w:p w:rsidR="00D37D80" w:rsidRPr="00D37D80" w:rsidRDefault="00D37D80" w:rsidP="00D37D80">
            <w:pPr>
              <w:rPr>
                <w:sz w:val="24"/>
                <w:szCs w:val="24"/>
              </w:rPr>
            </w:pPr>
            <w:r w:rsidRPr="00D37D80">
              <w:rPr>
                <w:rFonts w:cs="Calibri"/>
                <w:b/>
                <w:bCs/>
                <w:sz w:val="24"/>
                <w:szCs w:val="24"/>
              </w:rPr>
              <w:t xml:space="preserve">RESOLUÇÃO CNSP Nº </w:t>
            </w:r>
            <w:r w:rsidRPr="00D37D80">
              <w:rPr>
                <w:rFonts w:cs="Calibri"/>
                <w:b/>
                <w:bCs/>
                <w:color w:val="FF0000"/>
                <w:sz w:val="24"/>
                <w:szCs w:val="24"/>
              </w:rPr>
              <w:t>XXXX</w:t>
            </w:r>
            <w:r w:rsidRPr="00D37D80">
              <w:rPr>
                <w:rFonts w:cs="Calibri"/>
                <w:b/>
                <w:bCs/>
                <w:sz w:val="24"/>
                <w:szCs w:val="24"/>
              </w:rPr>
              <w:t xml:space="preserve">, DE </w:t>
            </w:r>
            <w:r w:rsidRPr="00D37D80">
              <w:rPr>
                <w:rFonts w:cs="Calibri"/>
                <w:b/>
                <w:bCs/>
                <w:color w:val="FF0000"/>
                <w:sz w:val="24"/>
                <w:szCs w:val="24"/>
              </w:rPr>
              <w:t>DD</w:t>
            </w:r>
            <w:r w:rsidRPr="00D37D80">
              <w:rPr>
                <w:rFonts w:cs="Calibri"/>
                <w:b/>
                <w:bCs/>
                <w:sz w:val="24"/>
                <w:szCs w:val="24"/>
              </w:rPr>
              <w:t xml:space="preserve"> DE </w:t>
            </w:r>
            <w:r w:rsidRPr="00D37D80">
              <w:rPr>
                <w:rFonts w:cs="Calibri"/>
                <w:b/>
                <w:bCs/>
                <w:color w:val="FF0000"/>
                <w:sz w:val="24"/>
                <w:szCs w:val="24"/>
              </w:rPr>
              <w:t>MMMM</w:t>
            </w:r>
            <w:r w:rsidRPr="00D37D80">
              <w:rPr>
                <w:rFonts w:cs="Calibri"/>
                <w:b/>
                <w:bCs/>
                <w:sz w:val="24"/>
                <w:szCs w:val="24"/>
              </w:rPr>
              <w:t xml:space="preserve"> DE 20</w:t>
            </w:r>
            <w:r w:rsidRPr="00D37D80">
              <w:rPr>
                <w:rFonts w:cs="Calibri"/>
                <w:b/>
                <w:bCs/>
                <w:color w:val="FF0000"/>
                <w:sz w:val="24"/>
                <w:szCs w:val="24"/>
              </w:rPr>
              <w:t>AA</w:t>
            </w:r>
            <w:r w:rsidRPr="00D37D80">
              <w:rPr>
                <w:rFonts w:cs="Calibri"/>
                <w:b/>
                <w:bCs/>
                <w:sz w:val="24"/>
                <w:szCs w:val="24"/>
              </w:rPr>
              <w:t xml:space="preserve">. </w:t>
            </w:r>
          </w:p>
        </w:tc>
        <w:tc>
          <w:tcPr>
            <w:tcW w:w="4765" w:type="dxa"/>
          </w:tcPr>
          <w:p w:rsidR="00D37D80" w:rsidRPr="00D37D80" w:rsidRDefault="00D37D80" w:rsidP="00D37D80">
            <w:pPr>
              <w:jc w:val="center"/>
              <w:rPr>
                <w:b/>
                <w:sz w:val="24"/>
                <w:szCs w:val="24"/>
              </w:rPr>
            </w:pPr>
          </w:p>
        </w:tc>
        <w:tc>
          <w:tcPr>
            <w:tcW w:w="4734" w:type="dxa"/>
          </w:tcPr>
          <w:p w:rsidR="00D37D80" w:rsidRPr="00D37D80" w:rsidRDefault="00D37D80" w:rsidP="00D37D80">
            <w:pPr>
              <w:jc w:val="center"/>
              <w:rPr>
                <w:b/>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i/>
                <w:sz w:val="24"/>
                <w:szCs w:val="24"/>
              </w:rPr>
              <w:t xml:space="preserve">Dispõe sobre as entidades </w:t>
            </w:r>
            <w:proofErr w:type="spellStart"/>
            <w:r w:rsidRPr="00D37D80">
              <w:rPr>
                <w:i/>
                <w:sz w:val="24"/>
                <w:szCs w:val="24"/>
              </w:rPr>
              <w:t>autorreguladoras</w:t>
            </w:r>
            <w:proofErr w:type="spellEnd"/>
            <w:r w:rsidRPr="00D37D80">
              <w:rPr>
                <w:i/>
                <w:sz w:val="24"/>
                <w:szCs w:val="24"/>
              </w:rPr>
              <w:t xml:space="preserve"> do mercado de corretagem de seguros, de capitalização e de previdência complementar aberta, e dá outras providências</w:t>
            </w:r>
            <w:r w:rsidRPr="00D37D80">
              <w:rPr>
                <w:sz w:val="24"/>
                <w:szCs w:val="24"/>
              </w:rPr>
              <w:t>.</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64FE9">
            <w:pPr>
              <w:jc w:val="both"/>
              <w:rPr>
                <w:color w:val="000000"/>
                <w:sz w:val="24"/>
                <w:szCs w:val="24"/>
              </w:rPr>
            </w:pPr>
            <w:r w:rsidRPr="00D37D80">
              <w:rPr>
                <w:rStyle w:val="Forte"/>
                <w:color w:val="000000"/>
                <w:sz w:val="24"/>
                <w:szCs w:val="24"/>
              </w:rPr>
              <w:t>A SUPERINTENDÊNCIA DE SEGUROS PRIVADOS – SUSEP</w:t>
            </w:r>
            <w:r w:rsidRPr="00D37D80">
              <w:rPr>
                <w:color w:val="000000"/>
                <w:sz w:val="24"/>
                <w:szCs w:val="24"/>
              </w:rPr>
              <w:t xml:space="preserve">, no uso da atribuição que lhe confere o art. 34, inciso XI, do Decreto nº 60.459, de 13 de março de 1967, e considerando o que consta do processo nº </w:t>
            </w:r>
            <w:r w:rsidR="00D64FE9">
              <w:t xml:space="preserve">CNSP nº </w:t>
            </w:r>
            <w:r w:rsidR="00D64FE9" w:rsidRPr="00A70A6E">
              <w:rPr>
                <w:color w:val="FF0000"/>
                <w:sz w:val="24"/>
                <w:szCs w:val="24"/>
              </w:rPr>
              <w:t>XXXXXXXXX</w:t>
            </w:r>
            <w:r w:rsidR="00D64FE9">
              <w:t xml:space="preserve"> e Susep nº 15414.633744/2019-39</w:t>
            </w:r>
            <w:r w:rsidRPr="00D37D80">
              <w:rPr>
                <w:color w:val="000000"/>
                <w:sz w:val="24"/>
                <w:szCs w:val="24"/>
              </w:rPr>
              <w:t>, torna público que o </w:t>
            </w:r>
            <w:r w:rsidRPr="00D37D80">
              <w:rPr>
                <w:rStyle w:val="Forte"/>
                <w:color w:val="000000"/>
                <w:sz w:val="24"/>
                <w:szCs w:val="24"/>
              </w:rPr>
              <w:t>CONSELHO NACIONAL DE SEGUROS PRIVADOS - CNSP</w:t>
            </w:r>
            <w:r w:rsidRPr="00D37D80">
              <w:rPr>
                <w:color w:val="000000"/>
                <w:sz w:val="24"/>
                <w:szCs w:val="24"/>
              </w:rPr>
              <w:t xml:space="preserve">, em sessão ordinária realizada em </w:t>
            </w:r>
            <w:proofErr w:type="spellStart"/>
            <w:r w:rsidRPr="00A70A6E">
              <w:rPr>
                <w:color w:val="FF0000"/>
                <w:sz w:val="24"/>
                <w:szCs w:val="24"/>
              </w:rPr>
              <w:t>xx</w:t>
            </w:r>
            <w:proofErr w:type="spellEnd"/>
            <w:r w:rsidRPr="00D37D80">
              <w:rPr>
                <w:color w:val="000000"/>
                <w:sz w:val="24"/>
                <w:szCs w:val="24"/>
              </w:rPr>
              <w:t xml:space="preserve"> de </w:t>
            </w:r>
            <w:proofErr w:type="spellStart"/>
            <w:r w:rsidRPr="00A70A6E">
              <w:rPr>
                <w:color w:val="FF0000"/>
                <w:sz w:val="24"/>
                <w:szCs w:val="24"/>
              </w:rPr>
              <w:t>xxxxx</w:t>
            </w:r>
            <w:proofErr w:type="spellEnd"/>
            <w:r w:rsidRPr="00D37D80">
              <w:rPr>
                <w:color w:val="000000"/>
                <w:sz w:val="24"/>
                <w:szCs w:val="24"/>
              </w:rPr>
              <w:t xml:space="preserve"> de 20</w:t>
            </w:r>
            <w:r w:rsidR="00A70A6E" w:rsidRPr="00A70A6E">
              <w:rPr>
                <w:color w:val="FF0000"/>
                <w:sz w:val="24"/>
                <w:szCs w:val="24"/>
              </w:rPr>
              <w:t>XX</w:t>
            </w:r>
            <w:r w:rsidRPr="00D37D80">
              <w:rPr>
                <w:color w:val="000000"/>
                <w:sz w:val="24"/>
                <w:szCs w:val="24"/>
              </w:rPr>
              <w:t xml:space="preserve">, e com fulcro no disposto nos </w:t>
            </w:r>
            <w:proofErr w:type="spellStart"/>
            <w:r w:rsidRPr="00D37D80">
              <w:rPr>
                <w:color w:val="000000"/>
                <w:sz w:val="24"/>
                <w:szCs w:val="24"/>
              </w:rPr>
              <w:t>arts</w:t>
            </w:r>
            <w:proofErr w:type="spellEnd"/>
            <w:r w:rsidRPr="00D37D80">
              <w:rPr>
                <w:color w:val="000000"/>
                <w:sz w:val="24"/>
                <w:szCs w:val="24"/>
              </w:rPr>
              <w:t xml:space="preserve">. 32, incisos XVII e XVIII, e 127-A do Decreto-Lei nº 73, de 21 de novembro de 1966,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spacing w:after="96" w:line="259" w:lineRule="auto"/>
              <w:jc w:val="center"/>
              <w:rPr>
                <w:b/>
                <w:sz w:val="24"/>
                <w:szCs w:val="24"/>
              </w:rPr>
            </w:pPr>
            <w:r w:rsidRPr="00D37D80">
              <w:rPr>
                <w:b/>
                <w:sz w:val="24"/>
                <w:szCs w:val="24"/>
              </w:rPr>
              <w:t>RESOLVE:</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lastRenderedPageBreak/>
              <w:t>CAPÍTULO I</w:t>
            </w:r>
          </w:p>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t>DA ABRANGÊNCIA DA NORMA</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1º Esta Resolução estabelece as condições de constituição, organização, funcionamento e extinção de entidades </w:t>
            </w:r>
            <w:proofErr w:type="spellStart"/>
            <w:r w:rsidRPr="00D37D80">
              <w:rPr>
                <w:sz w:val="24"/>
                <w:szCs w:val="24"/>
              </w:rPr>
              <w:t>autorreguladoras</w:t>
            </w:r>
            <w:proofErr w:type="spellEnd"/>
            <w:r w:rsidRPr="00D37D80">
              <w:rPr>
                <w:sz w:val="24"/>
                <w:szCs w:val="24"/>
              </w:rPr>
              <w:t xml:space="preserve"> do mercado de corretagem de seguros, de capitalização e de previdência complementar aberta.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tabs>
                <w:tab w:val="center" w:pos="3122"/>
              </w:tabs>
              <w:ind w:left="-15"/>
              <w:jc w:val="both"/>
              <w:rPr>
                <w:sz w:val="24"/>
                <w:szCs w:val="24"/>
              </w:rPr>
            </w:pPr>
            <w:r w:rsidRPr="00D37D80">
              <w:rPr>
                <w:sz w:val="24"/>
                <w:szCs w:val="24"/>
              </w:rPr>
              <w:t xml:space="preserve">Art. 2º Para os efeitos desta Resolução, considera-se: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spacing w:after="3" w:line="249" w:lineRule="auto"/>
              <w:ind w:left="10"/>
              <w:jc w:val="both"/>
              <w:rPr>
                <w:sz w:val="24"/>
                <w:szCs w:val="24"/>
              </w:rPr>
            </w:pPr>
            <w:r w:rsidRPr="00D37D80">
              <w:rPr>
                <w:sz w:val="24"/>
                <w:szCs w:val="24"/>
              </w:rPr>
              <w:t xml:space="preserve">I – Entidade </w:t>
            </w:r>
            <w:proofErr w:type="spellStart"/>
            <w:r w:rsidRPr="00D37D80">
              <w:rPr>
                <w:sz w:val="24"/>
                <w:szCs w:val="24"/>
              </w:rPr>
              <w:t>autorreguladora</w:t>
            </w:r>
            <w:proofErr w:type="spellEnd"/>
            <w:r w:rsidRPr="00D37D80">
              <w:rPr>
                <w:sz w:val="24"/>
                <w:szCs w:val="24"/>
              </w:rPr>
              <w:t xml:space="preserve">: pessoa jurídica de direito privado, constituída sob a forma de associação, com a incumbência principal de </w:t>
            </w:r>
            <w:proofErr w:type="spellStart"/>
            <w:r w:rsidRPr="00D37D80">
              <w:rPr>
                <w:sz w:val="24"/>
                <w:szCs w:val="24"/>
              </w:rPr>
              <w:t>auto-organizar</w:t>
            </w:r>
            <w:proofErr w:type="spellEnd"/>
            <w:r w:rsidRPr="00D37D80">
              <w:rPr>
                <w:sz w:val="24"/>
                <w:szCs w:val="24"/>
              </w:rPr>
              <w:t xml:space="preserve"> o mercado de corretagem e devidamente credenciada perante a SUSEP;</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spacing w:after="3" w:line="249" w:lineRule="auto"/>
              <w:ind w:left="10"/>
              <w:jc w:val="both"/>
              <w:rPr>
                <w:sz w:val="24"/>
                <w:szCs w:val="24"/>
              </w:rPr>
            </w:pPr>
            <w:r w:rsidRPr="00D37D80">
              <w:rPr>
                <w:sz w:val="24"/>
                <w:szCs w:val="24"/>
              </w:rPr>
              <w:t xml:space="preserve">II – Mercado de corretagem: atividade econômica de assessoramento, consultoria e intermediação de contratos de seguro, capitalização e previdência complementar aberta; 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spacing w:after="3" w:line="249" w:lineRule="auto"/>
              <w:ind w:left="10"/>
              <w:jc w:val="both"/>
              <w:rPr>
                <w:sz w:val="24"/>
                <w:szCs w:val="24"/>
              </w:rPr>
            </w:pPr>
            <w:r w:rsidRPr="00D37D80">
              <w:rPr>
                <w:sz w:val="24"/>
                <w:szCs w:val="24"/>
              </w:rPr>
              <w:t xml:space="preserve">III – Membros do mercado de corretagem: todos os corretores, pessoas naturais e jurídicas, e seus prepostos, associados ou não a uma entidade </w:t>
            </w:r>
            <w:proofErr w:type="spellStart"/>
            <w:r w:rsidRPr="00D37D80">
              <w:rPr>
                <w:sz w:val="24"/>
                <w:szCs w:val="24"/>
              </w:rPr>
              <w:t>autorreguladora</w:t>
            </w:r>
            <w:proofErr w:type="spellEnd"/>
            <w:r w:rsidRPr="00D37D80">
              <w:rPr>
                <w:sz w:val="24"/>
                <w:szCs w:val="24"/>
              </w:rPr>
              <w:t>, que atuam no mercado de corretagem.</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pStyle w:val="Ttulo1"/>
              <w:ind w:right="5"/>
              <w:outlineLvl w:val="0"/>
              <w:rPr>
                <w:rFonts w:asciiTheme="minorHAnsi" w:hAnsiTheme="minorHAnsi"/>
                <w:szCs w:val="24"/>
              </w:rPr>
            </w:pPr>
            <w:r w:rsidRPr="00D37D80">
              <w:rPr>
                <w:rFonts w:asciiTheme="minorHAnsi" w:hAnsiTheme="minorHAnsi"/>
                <w:szCs w:val="24"/>
              </w:rPr>
              <w:lastRenderedPageBreak/>
              <w:t>CAPÍTULO II</w:t>
            </w:r>
          </w:p>
          <w:p w:rsidR="00D37D80" w:rsidRPr="00D37D80" w:rsidRDefault="00D37D80" w:rsidP="00D37D80">
            <w:pPr>
              <w:pStyle w:val="Ttulo1"/>
              <w:ind w:right="5"/>
              <w:outlineLvl w:val="0"/>
              <w:rPr>
                <w:rFonts w:asciiTheme="minorHAnsi" w:hAnsiTheme="minorHAnsi"/>
                <w:szCs w:val="24"/>
              </w:rPr>
            </w:pPr>
            <w:r w:rsidRPr="00D37D80">
              <w:rPr>
                <w:rFonts w:asciiTheme="minorHAnsi" w:hAnsiTheme="minorHAnsi"/>
                <w:szCs w:val="24"/>
              </w:rPr>
              <w:t>DOS OBJETIVOS DAS ENTIDADES AUTORREGULADORAS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spacing w:after="3" w:line="249" w:lineRule="auto"/>
              <w:ind w:left="10"/>
              <w:jc w:val="both"/>
              <w:rPr>
                <w:sz w:val="24"/>
                <w:szCs w:val="24"/>
              </w:rPr>
            </w:pPr>
            <w:r w:rsidRPr="00D37D80">
              <w:rPr>
                <w:sz w:val="24"/>
                <w:szCs w:val="24"/>
              </w:rPr>
              <w:t xml:space="preserve">Art. 3º As entidades </w:t>
            </w:r>
            <w:proofErr w:type="spellStart"/>
            <w:r w:rsidRPr="00D37D80">
              <w:rPr>
                <w:sz w:val="24"/>
                <w:szCs w:val="24"/>
              </w:rPr>
              <w:t>autorreguladoras</w:t>
            </w:r>
            <w:proofErr w:type="spellEnd"/>
            <w:r w:rsidRPr="00D37D80">
              <w:rPr>
                <w:sz w:val="24"/>
                <w:szCs w:val="24"/>
              </w:rPr>
              <w:t xml:space="preserve"> terão por objetivo zelar pela observância da legislação de seguros e do consumidor, organizar e fomentar a elevação dos padrões éticos e profissionais dos membros do mercado de corretagem, bem como as boas práticas de conduta no relacionamento com segurados, corretores, sociedades seguradoras e de capitalização, entidades abertas de previdência complementar e órgãos governamentais.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t>CAPÍTULO III</w:t>
            </w:r>
          </w:p>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t>DA CONSTITUIÇÃO E DO ESTATUTO SOCIAL</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spacing w:after="3" w:line="249" w:lineRule="auto"/>
              <w:ind w:left="10"/>
              <w:jc w:val="both"/>
              <w:rPr>
                <w:sz w:val="24"/>
                <w:szCs w:val="24"/>
              </w:rPr>
            </w:pPr>
            <w:r w:rsidRPr="00D37D80">
              <w:rPr>
                <w:sz w:val="24"/>
                <w:szCs w:val="24"/>
              </w:rPr>
              <w:t xml:space="preserve">Art. 4º As entidades </w:t>
            </w:r>
            <w:proofErr w:type="spellStart"/>
            <w:r w:rsidRPr="00D37D80">
              <w:rPr>
                <w:sz w:val="24"/>
                <w:szCs w:val="24"/>
              </w:rPr>
              <w:t>autorreguladoras</w:t>
            </w:r>
            <w:proofErr w:type="spellEnd"/>
            <w:r w:rsidRPr="00D37D80">
              <w:rPr>
                <w:sz w:val="24"/>
                <w:szCs w:val="24"/>
              </w:rPr>
              <w:t xml:space="preserve"> do mercado de corretagem serão constituídas na forma de associação, conforme os artigos 53 a 61 da Lei nº 10.406, de 10 de janeiro de 2002, com autonomia administrativa, financeira e patrimonial e prazo de duração indeterminado.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spacing w:after="3" w:line="249" w:lineRule="auto"/>
              <w:ind w:left="10"/>
              <w:jc w:val="both"/>
              <w:rPr>
                <w:sz w:val="24"/>
                <w:szCs w:val="24"/>
              </w:rPr>
            </w:pPr>
            <w:r w:rsidRPr="00D37D80">
              <w:rPr>
                <w:sz w:val="24"/>
                <w:szCs w:val="24"/>
              </w:rPr>
              <w:t xml:space="preserve">§ 1º O funcionamento e a extinção das entidades </w:t>
            </w:r>
            <w:proofErr w:type="spellStart"/>
            <w:r w:rsidRPr="00D37D80">
              <w:rPr>
                <w:sz w:val="24"/>
                <w:szCs w:val="24"/>
              </w:rPr>
              <w:t>autorreguladoras</w:t>
            </w:r>
            <w:proofErr w:type="spellEnd"/>
            <w:r w:rsidRPr="00D37D80">
              <w:rPr>
                <w:sz w:val="24"/>
                <w:szCs w:val="24"/>
              </w:rPr>
              <w:t xml:space="preserve"> do mercado de </w:t>
            </w:r>
            <w:r w:rsidRPr="00D37D80">
              <w:rPr>
                <w:sz w:val="24"/>
                <w:szCs w:val="24"/>
              </w:rPr>
              <w:lastRenderedPageBreak/>
              <w:t xml:space="preserve">corretagem dependem de prévio credenciamento perante a SUSEP.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spacing w:after="3" w:line="249" w:lineRule="auto"/>
              <w:ind w:left="10"/>
              <w:jc w:val="both"/>
              <w:rPr>
                <w:sz w:val="24"/>
                <w:szCs w:val="24"/>
              </w:rPr>
            </w:pPr>
            <w:r w:rsidRPr="00D37D80">
              <w:rPr>
                <w:sz w:val="24"/>
                <w:szCs w:val="24"/>
              </w:rPr>
              <w:t xml:space="preserve">§ 2º As entidades </w:t>
            </w:r>
            <w:proofErr w:type="spellStart"/>
            <w:r w:rsidRPr="00D37D80">
              <w:rPr>
                <w:sz w:val="24"/>
                <w:szCs w:val="24"/>
              </w:rPr>
              <w:t>autorreguladoras</w:t>
            </w:r>
            <w:proofErr w:type="spellEnd"/>
            <w:r w:rsidRPr="00D37D80">
              <w:rPr>
                <w:sz w:val="24"/>
                <w:szCs w:val="24"/>
              </w:rPr>
              <w:t xml:space="preserve"> do mercado de corretagem poderão abranger todos, alguns ou apenas um ramo ou nicho específico do respectivo mercado.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5º Os estatutos sociais das entidades </w:t>
            </w:r>
            <w:proofErr w:type="spellStart"/>
            <w:r w:rsidRPr="00D37D80">
              <w:rPr>
                <w:sz w:val="24"/>
                <w:szCs w:val="24"/>
              </w:rPr>
              <w:t>autorreguladoras</w:t>
            </w:r>
            <w:proofErr w:type="spellEnd"/>
            <w:r w:rsidRPr="00D37D80">
              <w:rPr>
                <w:sz w:val="24"/>
                <w:szCs w:val="24"/>
              </w:rPr>
              <w:t xml:space="preserve"> deverão ser registrados no Cartório de Registro Civil de Pessoas Jurídicas competente, devendo dispor sobre: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 - </w:t>
            </w:r>
            <w:proofErr w:type="gramStart"/>
            <w:r w:rsidRPr="00D37D80">
              <w:rPr>
                <w:sz w:val="24"/>
                <w:szCs w:val="24"/>
              </w:rPr>
              <w:t>a</w:t>
            </w:r>
            <w:proofErr w:type="gramEnd"/>
            <w:r w:rsidRPr="00D37D80">
              <w:rPr>
                <w:sz w:val="24"/>
                <w:szCs w:val="24"/>
              </w:rPr>
              <w:t xml:space="preserve"> denominação, os fins e a sede da entidade;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II - </w:t>
            </w:r>
            <w:proofErr w:type="gramStart"/>
            <w:r w:rsidRPr="00D37D80">
              <w:rPr>
                <w:sz w:val="24"/>
                <w:szCs w:val="24"/>
              </w:rPr>
              <w:t>os</w:t>
            </w:r>
            <w:proofErr w:type="gramEnd"/>
            <w:r w:rsidRPr="00D37D80">
              <w:rPr>
                <w:sz w:val="24"/>
                <w:szCs w:val="24"/>
              </w:rPr>
              <w:t xml:space="preserve"> requisitos para a admissão e exclusão dos seus associados;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III - os direitos e deveres dos associados;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IV - </w:t>
            </w:r>
            <w:proofErr w:type="gramStart"/>
            <w:r w:rsidRPr="00D37D80">
              <w:rPr>
                <w:sz w:val="24"/>
                <w:szCs w:val="24"/>
              </w:rPr>
              <w:t>a</w:t>
            </w:r>
            <w:proofErr w:type="gramEnd"/>
            <w:r w:rsidRPr="00D37D80">
              <w:rPr>
                <w:sz w:val="24"/>
                <w:szCs w:val="24"/>
              </w:rPr>
              <w:t xml:space="preserve"> forma da eleição, posse, substituição e destituição dos membros de diretorias, conselho fiscal e ouvidoria;</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VI - </w:t>
            </w:r>
            <w:proofErr w:type="gramStart"/>
            <w:r w:rsidRPr="00D37D80">
              <w:rPr>
                <w:sz w:val="24"/>
                <w:szCs w:val="24"/>
              </w:rPr>
              <w:t>os</w:t>
            </w:r>
            <w:proofErr w:type="gramEnd"/>
            <w:r w:rsidRPr="00D37D80">
              <w:rPr>
                <w:sz w:val="24"/>
                <w:szCs w:val="24"/>
              </w:rPr>
              <w:t xml:space="preserve"> requisitos mínimos para o exercício de cargos e funções no âmbito da entidade;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VI - </w:t>
            </w:r>
            <w:proofErr w:type="gramStart"/>
            <w:r w:rsidRPr="00D37D80">
              <w:rPr>
                <w:sz w:val="24"/>
                <w:szCs w:val="24"/>
              </w:rPr>
              <w:t>as</w:t>
            </w:r>
            <w:proofErr w:type="gramEnd"/>
            <w:r w:rsidRPr="00D37D80">
              <w:rPr>
                <w:sz w:val="24"/>
                <w:szCs w:val="24"/>
              </w:rPr>
              <w:t xml:space="preserve"> atribuições e prerrogativas dos diretores, dos conselheiros e do ouvidor;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VII - a convocação, a competência e o funcionamento da assembleia geral, prevista, no mínimo, uma assembleia anual, a realizar-se nos seis primeiros meses seguintes ao término do exercício social;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lastRenderedPageBreak/>
              <w:t>VIII - as fontes de recursos para sua manutenção;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IX - </w:t>
            </w:r>
            <w:proofErr w:type="gramStart"/>
            <w:r w:rsidRPr="00D37D80">
              <w:rPr>
                <w:sz w:val="24"/>
                <w:szCs w:val="24"/>
              </w:rPr>
              <w:t>o</w:t>
            </w:r>
            <w:proofErr w:type="gramEnd"/>
            <w:r w:rsidRPr="00D37D80">
              <w:rPr>
                <w:sz w:val="24"/>
                <w:szCs w:val="24"/>
              </w:rPr>
              <w:t xml:space="preserve"> modo de constituição e de funcionamento dos órgãos deliberativos;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X - </w:t>
            </w:r>
            <w:proofErr w:type="gramStart"/>
            <w:r w:rsidRPr="00D37D80">
              <w:rPr>
                <w:sz w:val="24"/>
                <w:szCs w:val="24"/>
              </w:rPr>
              <w:t>as</w:t>
            </w:r>
            <w:proofErr w:type="gramEnd"/>
            <w:r w:rsidRPr="00D37D80">
              <w:rPr>
                <w:sz w:val="24"/>
                <w:szCs w:val="24"/>
              </w:rPr>
              <w:t xml:space="preserve"> condições para a alteração das disposições estatutárias e para a dissolução da entidade; 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XI - a forma de gestão administrativa e de aprovação das respectivas contas.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pStyle w:val="Ttulo1"/>
              <w:ind w:right="6"/>
              <w:outlineLvl w:val="0"/>
              <w:rPr>
                <w:rFonts w:asciiTheme="minorHAnsi" w:hAnsiTheme="minorHAnsi"/>
                <w:szCs w:val="24"/>
              </w:rPr>
            </w:pPr>
            <w:r w:rsidRPr="00D37D80">
              <w:rPr>
                <w:rFonts w:asciiTheme="minorHAnsi" w:hAnsiTheme="minorHAnsi"/>
                <w:szCs w:val="24"/>
              </w:rPr>
              <w:t>CAPÍTULO IV</w:t>
            </w:r>
          </w:p>
          <w:p w:rsidR="00D37D80" w:rsidRPr="00D37D80" w:rsidRDefault="00D37D80" w:rsidP="00D37D80">
            <w:pPr>
              <w:pStyle w:val="Ttulo1"/>
              <w:ind w:right="6"/>
              <w:outlineLvl w:val="0"/>
              <w:rPr>
                <w:rFonts w:asciiTheme="minorHAnsi" w:hAnsiTheme="minorHAnsi"/>
                <w:szCs w:val="24"/>
              </w:rPr>
            </w:pPr>
            <w:r w:rsidRPr="00D37D80">
              <w:rPr>
                <w:rFonts w:asciiTheme="minorHAnsi" w:hAnsiTheme="minorHAnsi"/>
                <w:szCs w:val="24"/>
              </w:rPr>
              <w:t>DOS ASSOCIADOS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6º O quadro social das entidades </w:t>
            </w:r>
            <w:proofErr w:type="spellStart"/>
            <w:r w:rsidRPr="00D37D80">
              <w:rPr>
                <w:sz w:val="24"/>
                <w:szCs w:val="24"/>
              </w:rPr>
              <w:t>autorreguladoras</w:t>
            </w:r>
            <w:proofErr w:type="spellEnd"/>
            <w:r w:rsidRPr="00D37D80">
              <w:rPr>
                <w:sz w:val="24"/>
                <w:szCs w:val="24"/>
              </w:rPr>
              <w:t xml:space="preserve"> do mercado de corretagem será composto exclusivamente por membros do mercado de corretagem e por entidades que representem legalmente seus </w:t>
            </w:r>
            <w:proofErr w:type="gramStart"/>
            <w:r w:rsidRPr="00D37D80">
              <w:rPr>
                <w:sz w:val="24"/>
                <w:szCs w:val="24"/>
              </w:rPr>
              <w:t xml:space="preserve">interesses.  </w:t>
            </w:r>
            <w:proofErr w:type="gramEnd"/>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Parágrafo único. Em se tratando de membro pessoa jurídica, os respectivos dirigentes estatutários, sócios e administradores que sejam corretores de seguros deverão ser associados à mesma entidade </w:t>
            </w:r>
            <w:proofErr w:type="spellStart"/>
            <w:r w:rsidRPr="00D37D80">
              <w:rPr>
                <w:sz w:val="24"/>
                <w:szCs w:val="24"/>
              </w:rPr>
              <w:t>autorreguladora</w:t>
            </w:r>
            <w:proofErr w:type="spellEnd"/>
            <w:r w:rsidRPr="00D37D80">
              <w:rPr>
                <w:sz w:val="24"/>
                <w:szCs w:val="24"/>
              </w:rPr>
              <w:t>.</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64FE9" w:rsidRPr="00E66FBE" w:rsidTr="00D37D80">
        <w:tc>
          <w:tcPr>
            <w:tcW w:w="4495" w:type="dxa"/>
          </w:tcPr>
          <w:p w:rsidR="00D64FE9" w:rsidRPr="00D37D80" w:rsidRDefault="00D64FE9" w:rsidP="00D37D80">
            <w:pPr>
              <w:ind w:left="-5"/>
              <w:jc w:val="both"/>
              <w:rPr>
                <w:sz w:val="24"/>
                <w:szCs w:val="24"/>
              </w:rPr>
            </w:pPr>
            <w:r>
              <w:t xml:space="preserve">Art. 7º As entidades </w:t>
            </w:r>
            <w:proofErr w:type="spellStart"/>
            <w:r>
              <w:t>autorreguladoras</w:t>
            </w:r>
            <w:proofErr w:type="spellEnd"/>
            <w:r>
              <w:t xml:space="preserve"> não poderão recusar a inscrição em seus quadros de membro do mercado de corretagem, ressalvadas as seguintes hipóteses:</w:t>
            </w:r>
          </w:p>
        </w:tc>
        <w:tc>
          <w:tcPr>
            <w:tcW w:w="4765" w:type="dxa"/>
          </w:tcPr>
          <w:p w:rsidR="00D64FE9" w:rsidRPr="00D37D80" w:rsidRDefault="00D64FE9" w:rsidP="00D37D80">
            <w:pPr>
              <w:jc w:val="both"/>
              <w:rPr>
                <w:sz w:val="24"/>
                <w:szCs w:val="24"/>
              </w:rPr>
            </w:pPr>
          </w:p>
        </w:tc>
        <w:tc>
          <w:tcPr>
            <w:tcW w:w="4734" w:type="dxa"/>
          </w:tcPr>
          <w:p w:rsidR="00D64FE9" w:rsidRPr="00D37D80" w:rsidRDefault="00D64FE9" w:rsidP="00D37D80">
            <w:pPr>
              <w:jc w:val="both"/>
              <w:rPr>
                <w:sz w:val="24"/>
                <w:szCs w:val="24"/>
              </w:rPr>
            </w:pPr>
          </w:p>
        </w:tc>
      </w:tr>
      <w:tr w:rsidR="00D37D80" w:rsidRPr="00E66FBE" w:rsidTr="00D37D80">
        <w:tc>
          <w:tcPr>
            <w:tcW w:w="4495" w:type="dxa"/>
          </w:tcPr>
          <w:p w:rsidR="00D37D80" w:rsidRPr="00D37D80" w:rsidRDefault="00D37D80" w:rsidP="00D37D80">
            <w:pPr>
              <w:jc w:val="both"/>
              <w:rPr>
                <w:sz w:val="24"/>
                <w:szCs w:val="24"/>
              </w:rPr>
            </w:pPr>
            <w:r w:rsidRPr="00D37D80">
              <w:rPr>
                <w:sz w:val="24"/>
                <w:szCs w:val="24"/>
              </w:rPr>
              <w:t xml:space="preserve">I - </w:t>
            </w:r>
            <w:proofErr w:type="gramStart"/>
            <w:r w:rsidRPr="00D37D80">
              <w:rPr>
                <w:sz w:val="24"/>
                <w:szCs w:val="24"/>
              </w:rPr>
              <w:t>cometimento</w:t>
            </w:r>
            <w:proofErr w:type="gramEnd"/>
            <w:r w:rsidRPr="00D37D80">
              <w:rPr>
                <w:sz w:val="24"/>
                <w:szCs w:val="24"/>
              </w:rPr>
              <w:t xml:space="preserve">, nos últimos cinco anos, de crime ou infração, administrativa ou </w:t>
            </w:r>
            <w:r w:rsidRPr="00D37D80">
              <w:rPr>
                <w:sz w:val="24"/>
                <w:szCs w:val="24"/>
              </w:rPr>
              <w:lastRenderedPageBreak/>
              <w:t>estatutária, passível de exclusão nos termos do respectivo estatuto;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jc w:val="both"/>
              <w:rPr>
                <w:sz w:val="24"/>
                <w:szCs w:val="24"/>
              </w:rPr>
            </w:pPr>
            <w:r w:rsidRPr="00D37D80">
              <w:rPr>
                <w:sz w:val="24"/>
                <w:szCs w:val="24"/>
              </w:rPr>
              <w:t xml:space="preserve">II – </w:t>
            </w:r>
            <w:proofErr w:type="gramStart"/>
            <w:r w:rsidRPr="00D37D80">
              <w:rPr>
                <w:sz w:val="24"/>
                <w:szCs w:val="24"/>
              </w:rPr>
              <w:t>não</w:t>
            </w:r>
            <w:proofErr w:type="gramEnd"/>
            <w:r w:rsidRPr="00D37D80">
              <w:rPr>
                <w:sz w:val="24"/>
                <w:szCs w:val="24"/>
              </w:rPr>
              <w:t xml:space="preserve"> obtenção de certificação ou habilitação técnico-profissional expedida pela entidade </w:t>
            </w:r>
            <w:proofErr w:type="spellStart"/>
            <w:r w:rsidRPr="00D37D80">
              <w:rPr>
                <w:sz w:val="24"/>
                <w:szCs w:val="24"/>
              </w:rPr>
              <w:t>autorreguladora</w:t>
            </w:r>
            <w:proofErr w:type="spellEnd"/>
            <w:r w:rsidRPr="00D37D80">
              <w:rPr>
                <w:sz w:val="24"/>
                <w:szCs w:val="24"/>
              </w:rPr>
              <w:t xml:space="preserve">, a partir da realização de prova específica ou da comprovação de experiência profissional, na forma estatutária.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jc w:val="both"/>
              <w:rPr>
                <w:sz w:val="24"/>
                <w:szCs w:val="24"/>
              </w:rPr>
            </w:pPr>
            <w:r w:rsidRPr="00D37D80">
              <w:rPr>
                <w:sz w:val="24"/>
                <w:szCs w:val="24"/>
              </w:rPr>
              <w:t xml:space="preserve">§ 1º A qualidade de associado de entidade </w:t>
            </w:r>
            <w:proofErr w:type="spellStart"/>
            <w:r w:rsidRPr="00D37D80">
              <w:rPr>
                <w:sz w:val="24"/>
                <w:szCs w:val="24"/>
              </w:rPr>
              <w:t>autorreguladora</w:t>
            </w:r>
            <w:proofErr w:type="spellEnd"/>
            <w:r w:rsidRPr="00D37D80">
              <w:rPr>
                <w:sz w:val="24"/>
                <w:szCs w:val="24"/>
              </w:rPr>
              <w:t xml:space="preserve"> e os direitos inerentes são personalíssimos e intransmissíveis.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jc w:val="both"/>
              <w:rPr>
                <w:sz w:val="24"/>
                <w:szCs w:val="24"/>
              </w:rPr>
            </w:pPr>
            <w:r w:rsidRPr="00D37D80">
              <w:rPr>
                <w:sz w:val="24"/>
                <w:szCs w:val="24"/>
              </w:rPr>
              <w:t xml:space="preserve">§ 2º A exclusão de associado da entidade </w:t>
            </w:r>
            <w:proofErr w:type="spellStart"/>
            <w:r w:rsidRPr="00D37D80">
              <w:rPr>
                <w:sz w:val="24"/>
                <w:szCs w:val="24"/>
              </w:rPr>
              <w:t>autorreguladora</w:t>
            </w:r>
            <w:proofErr w:type="spellEnd"/>
            <w:r w:rsidRPr="00D37D80">
              <w:rPr>
                <w:sz w:val="24"/>
                <w:szCs w:val="24"/>
              </w:rPr>
              <w:t xml:space="preserve"> só será admissível mediante justa causa, assim reconhecida em procedimento que assegure direito de defesa, nos termos previstos no estatuto.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jc w:val="both"/>
              <w:rPr>
                <w:sz w:val="24"/>
                <w:szCs w:val="24"/>
              </w:rPr>
            </w:pPr>
            <w:r w:rsidRPr="00D37D80">
              <w:rPr>
                <w:sz w:val="24"/>
                <w:szCs w:val="24"/>
              </w:rPr>
              <w:t xml:space="preserve">§ 3º Na hipótese de que trata o parágrafo anterior, considera-se justa causa a não renovação da certificação expedida pela entidade </w:t>
            </w:r>
            <w:proofErr w:type="spellStart"/>
            <w:r w:rsidRPr="00D37D80">
              <w:rPr>
                <w:sz w:val="24"/>
                <w:szCs w:val="24"/>
              </w:rPr>
              <w:t>autorreguladora</w:t>
            </w:r>
            <w:proofErr w:type="spellEnd"/>
            <w:r w:rsidRPr="00D37D80">
              <w:rPr>
                <w:sz w:val="24"/>
                <w:szCs w:val="24"/>
              </w:rPr>
              <w:t xml:space="preserve"> a cada três anos;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jc w:val="both"/>
              <w:rPr>
                <w:sz w:val="24"/>
                <w:szCs w:val="24"/>
              </w:rPr>
            </w:pPr>
            <w:r w:rsidRPr="00D37D80">
              <w:rPr>
                <w:sz w:val="24"/>
                <w:szCs w:val="24"/>
              </w:rPr>
              <w:t xml:space="preserve">§ 4º O associado excluído da entidade </w:t>
            </w:r>
            <w:proofErr w:type="spellStart"/>
            <w:r w:rsidRPr="00D37D80">
              <w:rPr>
                <w:sz w:val="24"/>
                <w:szCs w:val="24"/>
              </w:rPr>
              <w:t>autorreguladora</w:t>
            </w:r>
            <w:proofErr w:type="spellEnd"/>
            <w:r w:rsidRPr="00D37D80">
              <w:rPr>
                <w:sz w:val="24"/>
                <w:szCs w:val="24"/>
              </w:rPr>
              <w:t xml:space="preserve"> ou que se retirar voluntariamente não fará jus </w:t>
            </w:r>
            <w:proofErr w:type="gramStart"/>
            <w:r w:rsidRPr="00D37D80">
              <w:rPr>
                <w:sz w:val="24"/>
                <w:szCs w:val="24"/>
              </w:rPr>
              <w:t>à</w:t>
            </w:r>
            <w:proofErr w:type="gramEnd"/>
            <w:r w:rsidRPr="00D37D80">
              <w:rPr>
                <w:sz w:val="24"/>
                <w:szCs w:val="24"/>
              </w:rPr>
              <w:t xml:space="preserve"> qualquer quota parte ou forma de divisão do seu patrimônio.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8º Nenhum associado poderá ser impedido de exercer, no âmbito da entidade </w:t>
            </w:r>
            <w:proofErr w:type="spellStart"/>
            <w:r w:rsidRPr="00D37D80">
              <w:rPr>
                <w:sz w:val="24"/>
                <w:szCs w:val="24"/>
              </w:rPr>
              <w:t>autorreguladora</w:t>
            </w:r>
            <w:proofErr w:type="spellEnd"/>
            <w:r w:rsidRPr="00D37D80">
              <w:rPr>
                <w:sz w:val="24"/>
                <w:szCs w:val="24"/>
              </w:rPr>
              <w:t xml:space="preserve">, direito ou função que lhe </w:t>
            </w:r>
            <w:r w:rsidRPr="00D37D80">
              <w:rPr>
                <w:sz w:val="24"/>
                <w:szCs w:val="24"/>
              </w:rPr>
              <w:lastRenderedPageBreak/>
              <w:t>tenha sido legitimamente garantido pela legislação vigente e pelo respectivo estatuto.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pStyle w:val="Ttulo1"/>
              <w:ind w:right="4"/>
              <w:outlineLvl w:val="0"/>
              <w:rPr>
                <w:rFonts w:asciiTheme="minorHAnsi" w:hAnsiTheme="minorHAnsi"/>
                <w:szCs w:val="24"/>
              </w:rPr>
            </w:pPr>
            <w:r w:rsidRPr="00D37D80">
              <w:rPr>
                <w:rFonts w:asciiTheme="minorHAnsi" w:hAnsiTheme="minorHAnsi"/>
                <w:szCs w:val="24"/>
              </w:rPr>
              <w:t>CAPÍTULO V</w:t>
            </w:r>
          </w:p>
          <w:p w:rsidR="00D37D80" w:rsidRPr="00D37D80" w:rsidRDefault="00D37D80" w:rsidP="00D37D80">
            <w:pPr>
              <w:pStyle w:val="Ttulo1"/>
              <w:ind w:right="4"/>
              <w:outlineLvl w:val="0"/>
              <w:rPr>
                <w:rFonts w:asciiTheme="minorHAnsi" w:hAnsiTheme="minorHAnsi"/>
                <w:szCs w:val="24"/>
              </w:rPr>
            </w:pPr>
            <w:r w:rsidRPr="00D37D80">
              <w:rPr>
                <w:rFonts w:asciiTheme="minorHAnsi" w:hAnsiTheme="minorHAnsi"/>
                <w:szCs w:val="24"/>
              </w:rPr>
              <w:t>DA ASSEMBLEIA GERAL</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9º Compete à assembleia geral das entidades </w:t>
            </w:r>
            <w:proofErr w:type="spellStart"/>
            <w:r w:rsidRPr="00D37D80">
              <w:rPr>
                <w:sz w:val="24"/>
                <w:szCs w:val="24"/>
              </w:rPr>
              <w:t>autorreguladoras</w:t>
            </w:r>
            <w:proofErr w:type="spellEnd"/>
            <w:r w:rsidRPr="00D37D80">
              <w:rPr>
                <w:sz w:val="24"/>
                <w:szCs w:val="24"/>
              </w:rPr>
              <w:t xml:space="preserve">, dentre outras funções previstas no seu estatuto: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 - </w:t>
            </w:r>
            <w:proofErr w:type="gramStart"/>
            <w:r w:rsidRPr="00D37D80">
              <w:rPr>
                <w:sz w:val="24"/>
                <w:szCs w:val="24"/>
              </w:rPr>
              <w:t>eleger e destituir</w:t>
            </w:r>
            <w:proofErr w:type="gramEnd"/>
            <w:r w:rsidRPr="00D37D80">
              <w:rPr>
                <w:sz w:val="24"/>
                <w:szCs w:val="24"/>
              </w:rPr>
              <w:t xml:space="preserve"> os dirigentes;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II - </w:t>
            </w:r>
            <w:proofErr w:type="gramStart"/>
            <w:r w:rsidRPr="00D37D80">
              <w:rPr>
                <w:sz w:val="24"/>
                <w:szCs w:val="24"/>
              </w:rPr>
              <w:t>aprovar</w:t>
            </w:r>
            <w:proofErr w:type="gramEnd"/>
            <w:r w:rsidRPr="00D37D80">
              <w:rPr>
                <w:sz w:val="24"/>
                <w:szCs w:val="24"/>
              </w:rPr>
              <w:t xml:space="preserve"> as contas da entidade, após manifestação do Conselho Fiscal; 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III - alterar o estatuto.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Parágrafo único. Para as deliberações a que se refere este artigo, a assembleia será convocada especialmente para esse fim, cujo </w:t>
            </w:r>
            <w:proofErr w:type="spellStart"/>
            <w:r w:rsidRPr="00D64FE9">
              <w:rPr>
                <w:i/>
                <w:sz w:val="24"/>
                <w:szCs w:val="24"/>
              </w:rPr>
              <w:t>quorum</w:t>
            </w:r>
            <w:proofErr w:type="spellEnd"/>
            <w:r w:rsidRPr="00D37D80">
              <w:rPr>
                <w:sz w:val="24"/>
                <w:szCs w:val="24"/>
              </w:rPr>
              <w:t xml:space="preserve"> será o estabelecido no estatuto.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pStyle w:val="Ttulo1"/>
              <w:ind w:right="4"/>
              <w:outlineLvl w:val="0"/>
              <w:rPr>
                <w:rFonts w:asciiTheme="minorHAnsi" w:hAnsiTheme="minorHAnsi"/>
                <w:szCs w:val="24"/>
              </w:rPr>
            </w:pPr>
            <w:r w:rsidRPr="00D37D80">
              <w:rPr>
                <w:rFonts w:asciiTheme="minorHAnsi" w:hAnsiTheme="minorHAnsi"/>
                <w:szCs w:val="24"/>
              </w:rPr>
              <w:t>CAPÍTULO VI</w:t>
            </w:r>
          </w:p>
          <w:p w:rsidR="00D37D80" w:rsidRPr="00D37D80" w:rsidRDefault="00D37D80" w:rsidP="00D37D80">
            <w:pPr>
              <w:pStyle w:val="Ttulo1"/>
              <w:ind w:right="4"/>
              <w:outlineLvl w:val="0"/>
              <w:rPr>
                <w:rFonts w:asciiTheme="minorHAnsi" w:hAnsiTheme="minorHAnsi"/>
                <w:szCs w:val="24"/>
              </w:rPr>
            </w:pPr>
            <w:r w:rsidRPr="00D37D80">
              <w:rPr>
                <w:rFonts w:asciiTheme="minorHAnsi" w:hAnsiTheme="minorHAnsi"/>
                <w:szCs w:val="24"/>
              </w:rPr>
              <w:t>DA ESTRUTURA ORGÂNICA</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10. As entidades </w:t>
            </w:r>
            <w:proofErr w:type="spellStart"/>
            <w:r w:rsidRPr="00D37D80">
              <w:rPr>
                <w:sz w:val="24"/>
                <w:szCs w:val="24"/>
              </w:rPr>
              <w:t>autorreguladoras</w:t>
            </w:r>
            <w:proofErr w:type="spellEnd"/>
            <w:r w:rsidRPr="00D37D80">
              <w:rPr>
                <w:sz w:val="24"/>
                <w:szCs w:val="24"/>
              </w:rPr>
              <w:t xml:space="preserve"> serão constituídas com estrutura organizacional que contenha, no mínimo, Diretoria Administrativa, Diretoria de Fiscalização, Diretoria de Julgamentos, Conselho Fiscal e Ouvidoria, cujas formas e atribuições deverão estar definidas no respectivo estatuto social.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lastRenderedPageBreak/>
              <w:t xml:space="preserve">Parágrafo único. A instância recursal das entidades </w:t>
            </w:r>
            <w:proofErr w:type="spellStart"/>
            <w:r w:rsidRPr="00D37D80">
              <w:rPr>
                <w:sz w:val="24"/>
                <w:szCs w:val="24"/>
              </w:rPr>
              <w:t>autorreguladoras</w:t>
            </w:r>
            <w:proofErr w:type="spellEnd"/>
            <w:r w:rsidRPr="00D37D80">
              <w:rPr>
                <w:sz w:val="24"/>
                <w:szCs w:val="24"/>
              </w:rPr>
              <w:t xml:space="preserve"> será composta por ao menos um representante dos consumidores do mercado de corretagem, indicado por entidade incumbida da proteção e defesa dos consumidores, na forma prevista no estatuto.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11. Os diretores, conselheiros e ouvidor devem ser pessoas naturais com reputação ilibada, qualificação e capacidade técnica necessárias à assunção das responsabilidades inerentes às respectivas funções.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1º Os mandatos relativos aos cargos e funções previstos no caput terão duração máxima de quatro anos, permitida uma recondução.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 2º São impeditivas da eleição de diretores, conselheiros e ouvidor e a contratação de empregado, encarregados de atividades relacionadas à </w:t>
            </w:r>
            <w:proofErr w:type="spellStart"/>
            <w:r w:rsidRPr="00D37D80">
              <w:rPr>
                <w:sz w:val="24"/>
                <w:szCs w:val="24"/>
              </w:rPr>
              <w:t>autorregulação</w:t>
            </w:r>
            <w:proofErr w:type="spellEnd"/>
            <w:r w:rsidRPr="00D37D80">
              <w:rPr>
                <w:sz w:val="24"/>
                <w:szCs w:val="24"/>
              </w:rPr>
              <w:t xml:space="preserv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64FE9" w:rsidRDefault="00D37D80" w:rsidP="00D37D80">
            <w:pPr>
              <w:ind w:left="-5"/>
              <w:jc w:val="both"/>
              <w:rPr>
                <w:sz w:val="24"/>
                <w:szCs w:val="24"/>
              </w:rPr>
            </w:pPr>
            <w:r w:rsidRPr="00D64FE9">
              <w:rPr>
                <w:sz w:val="24"/>
                <w:szCs w:val="24"/>
              </w:rPr>
              <w:t xml:space="preserve">I - </w:t>
            </w:r>
            <w:proofErr w:type="gramStart"/>
            <w:r w:rsidR="00D64FE9" w:rsidRPr="00D64FE9">
              <w:rPr>
                <w:sz w:val="24"/>
                <w:szCs w:val="24"/>
              </w:rPr>
              <w:t>a</w:t>
            </w:r>
            <w:proofErr w:type="gramEnd"/>
            <w:r w:rsidR="00D64FE9" w:rsidRPr="00D64FE9">
              <w:rPr>
                <w:sz w:val="24"/>
                <w:szCs w:val="24"/>
              </w:rPr>
              <w:t xml:space="preserve"> condenação por crime doloso;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64FE9" w:rsidRDefault="00D64FE9" w:rsidP="00D37D80">
            <w:pPr>
              <w:ind w:left="-5"/>
              <w:jc w:val="both"/>
              <w:rPr>
                <w:sz w:val="24"/>
                <w:szCs w:val="24"/>
              </w:rPr>
            </w:pPr>
            <w:r w:rsidRPr="00D64FE9">
              <w:rPr>
                <w:sz w:val="24"/>
                <w:szCs w:val="24"/>
              </w:rPr>
              <w:t xml:space="preserve">II - </w:t>
            </w:r>
            <w:proofErr w:type="gramStart"/>
            <w:r w:rsidRPr="00D64FE9">
              <w:rPr>
                <w:sz w:val="24"/>
                <w:szCs w:val="24"/>
              </w:rPr>
              <w:t>a</w:t>
            </w:r>
            <w:proofErr w:type="gramEnd"/>
            <w:r w:rsidRPr="00D64FE9">
              <w:rPr>
                <w:sz w:val="24"/>
                <w:szCs w:val="24"/>
              </w:rPr>
              <w:t xml:space="preserve"> condenação, no âmbito da Susep, das demais entidades públicas supervisoras ou de entidade </w:t>
            </w:r>
            <w:proofErr w:type="spellStart"/>
            <w:r w:rsidRPr="00D64FE9">
              <w:rPr>
                <w:sz w:val="24"/>
                <w:szCs w:val="24"/>
              </w:rPr>
              <w:t>autorreguladora</w:t>
            </w:r>
            <w:proofErr w:type="spellEnd"/>
            <w:r w:rsidRPr="00D64FE9">
              <w:rPr>
                <w:sz w:val="24"/>
                <w:szCs w:val="24"/>
              </w:rPr>
              <w:t>, às sanções de suspensão de atividade, cancelamento de registro ou inabilitação profissional; e</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64FE9" w:rsidRPr="00E66FBE" w:rsidTr="00D37D80">
        <w:tc>
          <w:tcPr>
            <w:tcW w:w="4495" w:type="dxa"/>
          </w:tcPr>
          <w:p w:rsidR="00D64FE9" w:rsidRPr="00D64FE9" w:rsidRDefault="00D64FE9" w:rsidP="00D37D80">
            <w:pPr>
              <w:ind w:left="-5"/>
              <w:jc w:val="both"/>
              <w:rPr>
                <w:sz w:val="24"/>
                <w:szCs w:val="24"/>
              </w:rPr>
            </w:pPr>
            <w:r w:rsidRPr="00D64FE9">
              <w:rPr>
                <w:sz w:val="24"/>
                <w:szCs w:val="24"/>
              </w:rPr>
              <w:lastRenderedPageBreak/>
              <w:t>III - a prestação de declarações falsas, inexatas ou omissas, quando, pela sua extensão ou conteúdo, se mostrarem relevantes para aferição do disposto no caput deste artigo.</w:t>
            </w:r>
          </w:p>
        </w:tc>
        <w:tc>
          <w:tcPr>
            <w:tcW w:w="4765" w:type="dxa"/>
          </w:tcPr>
          <w:p w:rsidR="00D64FE9" w:rsidRPr="00D37D80" w:rsidRDefault="00D64FE9" w:rsidP="00D37D80">
            <w:pPr>
              <w:jc w:val="both"/>
              <w:rPr>
                <w:sz w:val="24"/>
                <w:szCs w:val="24"/>
              </w:rPr>
            </w:pPr>
          </w:p>
        </w:tc>
        <w:tc>
          <w:tcPr>
            <w:tcW w:w="4734" w:type="dxa"/>
          </w:tcPr>
          <w:p w:rsidR="00D64FE9" w:rsidRPr="00D37D80" w:rsidRDefault="00D64FE9" w:rsidP="00D37D80">
            <w:pPr>
              <w:jc w:val="both"/>
              <w:rPr>
                <w:sz w:val="24"/>
                <w:szCs w:val="24"/>
              </w:rPr>
            </w:pPr>
          </w:p>
        </w:tc>
      </w:tr>
      <w:tr w:rsidR="00D37D80" w:rsidRPr="00E66FBE" w:rsidTr="00D37D80">
        <w:tc>
          <w:tcPr>
            <w:tcW w:w="4495" w:type="dxa"/>
          </w:tcPr>
          <w:p w:rsidR="00D37D80" w:rsidRPr="00D37D80" w:rsidRDefault="00D37D80" w:rsidP="00D37D80">
            <w:pPr>
              <w:jc w:val="both"/>
              <w:rPr>
                <w:sz w:val="24"/>
                <w:szCs w:val="24"/>
              </w:rPr>
            </w:pPr>
            <w:r w:rsidRPr="00D37D80">
              <w:rPr>
                <w:sz w:val="24"/>
                <w:szCs w:val="24"/>
              </w:rPr>
              <w:t xml:space="preserve">§ 3º Os diretores, conselheiros e ouvidor, encarregados de atividades relacionadas à </w:t>
            </w:r>
            <w:proofErr w:type="spellStart"/>
            <w:r w:rsidRPr="00D37D80">
              <w:rPr>
                <w:sz w:val="24"/>
                <w:szCs w:val="24"/>
              </w:rPr>
              <w:t>autorregulação</w:t>
            </w:r>
            <w:proofErr w:type="spellEnd"/>
            <w:r w:rsidRPr="00D37D80">
              <w:rPr>
                <w:sz w:val="24"/>
                <w:szCs w:val="24"/>
              </w:rPr>
              <w:t xml:space="preserve">, que não atendam, por fato superveniente ou desconhecido à época da aprovação de seu nome, os requisitos exigidos para a função, deverão ser imediatamente destituídos.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 4º Fica vedada a contratação de pessoa, natural ou jurídica, na condição de empregado ou prestador de serviços, que tenha relação de parentesco, por afinidade, em linha reta ou colateral, até terceiro grau, com quaisquer dos diretores, conselheiros ou do ouvidor, encarregados de atividades relacionadas à </w:t>
            </w:r>
            <w:proofErr w:type="spellStart"/>
            <w:r w:rsidRPr="00D37D80">
              <w:rPr>
                <w:sz w:val="24"/>
                <w:szCs w:val="24"/>
              </w:rPr>
              <w:t>autorregulação</w:t>
            </w:r>
            <w:proofErr w:type="spellEnd"/>
            <w:r w:rsidRPr="00D37D80">
              <w:rPr>
                <w:sz w:val="24"/>
                <w:szCs w:val="24"/>
              </w:rPr>
              <w:t xml:space="preserv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12. As entidades </w:t>
            </w:r>
            <w:proofErr w:type="spellStart"/>
            <w:r w:rsidRPr="00D37D80">
              <w:rPr>
                <w:sz w:val="24"/>
                <w:szCs w:val="24"/>
              </w:rPr>
              <w:t>autorreguladoras</w:t>
            </w:r>
            <w:proofErr w:type="spellEnd"/>
            <w:r w:rsidRPr="00D37D80">
              <w:rPr>
                <w:sz w:val="24"/>
                <w:szCs w:val="24"/>
              </w:rPr>
              <w:t xml:space="preserve"> poderão celebrar e manter acordos, contratos e instrumentos congêneres com outras entidades, com o objetivo de executar, aprimorar ou complementar atividades finalísticas relacionadas à </w:t>
            </w:r>
            <w:proofErr w:type="spellStart"/>
            <w:r w:rsidRPr="00D37D80">
              <w:rPr>
                <w:sz w:val="24"/>
                <w:szCs w:val="24"/>
              </w:rPr>
              <w:t>autorregulação</w:t>
            </w:r>
            <w:proofErr w:type="spellEnd"/>
            <w:r w:rsidRPr="00D37D80">
              <w:rPr>
                <w:sz w:val="24"/>
                <w:szCs w:val="24"/>
              </w:rPr>
              <w:t xml:space="preserv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pStyle w:val="Ttulo1"/>
              <w:ind w:right="4"/>
              <w:outlineLvl w:val="0"/>
              <w:rPr>
                <w:rFonts w:asciiTheme="minorHAnsi" w:hAnsiTheme="minorHAnsi"/>
                <w:szCs w:val="24"/>
              </w:rPr>
            </w:pPr>
            <w:r w:rsidRPr="00D37D80">
              <w:rPr>
                <w:rFonts w:asciiTheme="minorHAnsi" w:hAnsiTheme="minorHAnsi"/>
                <w:szCs w:val="24"/>
              </w:rPr>
              <w:lastRenderedPageBreak/>
              <w:t>CAPÍTULO VII</w:t>
            </w:r>
          </w:p>
          <w:p w:rsidR="00D37D80" w:rsidRPr="00D37D80" w:rsidRDefault="00D37D80" w:rsidP="00D37D80">
            <w:pPr>
              <w:pStyle w:val="Ttulo1"/>
              <w:ind w:right="4"/>
              <w:outlineLvl w:val="0"/>
              <w:rPr>
                <w:rFonts w:asciiTheme="minorHAnsi" w:hAnsiTheme="minorHAnsi"/>
                <w:szCs w:val="24"/>
              </w:rPr>
            </w:pPr>
            <w:r w:rsidRPr="00D37D80">
              <w:rPr>
                <w:rFonts w:asciiTheme="minorHAnsi" w:hAnsiTheme="minorHAnsi"/>
                <w:szCs w:val="24"/>
              </w:rPr>
              <w:t>DOS RECURSOS E RECEITAS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15"/>
              <w:jc w:val="both"/>
              <w:rPr>
                <w:sz w:val="24"/>
                <w:szCs w:val="24"/>
              </w:rPr>
            </w:pPr>
            <w:r w:rsidRPr="00D37D80">
              <w:rPr>
                <w:sz w:val="24"/>
                <w:szCs w:val="24"/>
              </w:rPr>
              <w:t xml:space="preserve">Art. 13. Os recursos e receitas das entidades, destinados aos investimentos e ao custeio das suas atividades de </w:t>
            </w:r>
            <w:proofErr w:type="spellStart"/>
            <w:r w:rsidRPr="00D37D80">
              <w:rPr>
                <w:sz w:val="24"/>
                <w:szCs w:val="24"/>
              </w:rPr>
              <w:t>autorregulação</w:t>
            </w:r>
            <w:proofErr w:type="spellEnd"/>
            <w:r w:rsidRPr="00D37D80">
              <w:rPr>
                <w:sz w:val="24"/>
                <w:szCs w:val="24"/>
              </w:rPr>
              <w:t>, serão constituídos de doações, contribuições, emolumentos, comissões e quaisquer outras fontes previstas no estatuto e na legislação.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t>CAPÍTULO VIII</w:t>
            </w:r>
          </w:p>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t>DA EXTINÇÃO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15"/>
              <w:jc w:val="both"/>
              <w:rPr>
                <w:sz w:val="24"/>
                <w:szCs w:val="24"/>
              </w:rPr>
            </w:pPr>
            <w:r w:rsidRPr="00D37D80">
              <w:rPr>
                <w:sz w:val="24"/>
                <w:szCs w:val="24"/>
              </w:rPr>
              <w:t xml:space="preserve">Art. 14. As entidades </w:t>
            </w:r>
            <w:proofErr w:type="spellStart"/>
            <w:r w:rsidRPr="00D37D80">
              <w:rPr>
                <w:sz w:val="24"/>
                <w:szCs w:val="24"/>
              </w:rPr>
              <w:t>autorreguladoras</w:t>
            </w:r>
            <w:proofErr w:type="spellEnd"/>
            <w:r w:rsidRPr="00D37D80">
              <w:rPr>
                <w:sz w:val="24"/>
                <w:szCs w:val="24"/>
              </w:rPr>
              <w:t xml:space="preserve"> do mercado de corretagem só poderão ser extintas ou deixar de executar as atividades de </w:t>
            </w:r>
            <w:proofErr w:type="spellStart"/>
            <w:r w:rsidRPr="00D37D80">
              <w:rPr>
                <w:sz w:val="24"/>
                <w:szCs w:val="24"/>
              </w:rPr>
              <w:t>autorregulação</w:t>
            </w:r>
            <w:proofErr w:type="spellEnd"/>
            <w:r w:rsidRPr="00D37D80">
              <w:rPr>
                <w:sz w:val="24"/>
                <w:szCs w:val="24"/>
              </w:rPr>
              <w:t xml:space="preserve"> mediante cumprimento de todas as suas obrigações e conclusão de todos os seus trabalhos em curso, conforme estabelecido em seu estatuto social, ressalvada a hipótese de transferência de suas atribuições a uma outra entidade </w:t>
            </w:r>
            <w:proofErr w:type="spellStart"/>
            <w:r w:rsidRPr="00D37D80">
              <w:rPr>
                <w:sz w:val="24"/>
                <w:szCs w:val="24"/>
              </w:rPr>
              <w:t>autorreguladora</w:t>
            </w:r>
            <w:proofErr w:type="spellEnd"/>
            <w:r w:rsidRPr="00D37D80">
              <w:rPr>
                <w:sz w:val="24"/>
                <w:szCs w:val="24"/>
              </w:rPr>
              <w:t xml:space="preserv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15"/>
              <w:jc w:val="both"/>
              <w:rPr>
                <w:sz w:val="24"/>
                <w:szCs w:val="24"/>
              </w:rPr>
            </w:pPr>
            <w:r w:rsidRPr="00D37D80">
              <w:rPr>
                <w:sz w:val="24"/>
                <w:szCs w:val="24"/>
              </w:rPr>
              <w:t xml:space="preserve">Art. 15. Cessadas as atividades de </w:t>
            </w:r>
            <w:proofErr w:type="spellStart"/>
            <w:r w:rsidRPr="00D37D80">
              <w:rPr>
                <w:sz w:val="24"/>
                <w:szCs w:val="24"/>
              </w:rPr>
              <w:t>autorregulação</w:t>
            </w:r>
            <w:proofErr w:type="spellEnd"/>
            <w:r w:rsidRPr="00D37D80">
              <w:rPr>
                <w:sz w:val="24"/>
                <w:szCs w:val="24"/>
              </w:rPr>
              <w:t xml:space="preserve">, na forma do art. 14, os bens e recursos remanescentes da atividade serão destinados a outra entidade </w:t>
            </w:r>
            <w:proofErr w:type="spellStart"/>
            <w:r w:rsidRPr="00D37D80">
              <w:rPr>
                <w:sz w:val="24"/>
                <w:szCs w:val="24"/>
              </w:rPr>
              <w:t>autorreguladora</w:t>
            </w:r>
            <w:proofErr w:type="spellEnd"/>
            <w:r w:rsidRPr="00D37D80">
              <w:rPr>
                <w:sz w:val="24"/>
                <w:szCs w:val="24"/>
              </w:rPr>
              <w:t>, caso os associados não deliberem de modo diverso.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pStyle w:val="Ttulo1"/>
              <w:ind w:right="6"/>
              <w:outlineLvl w:val="0"/>
              <w:rPr>
                <w:rFonts w:asciiTheme="minorHAnsi" w:hAnsiTheme="minorHAnsi"/>
                <w:szCs w:val="24"/>
              </w:rPr>
            </w:pPr>
            <w:r w:rsidRPr="00D37D80">
              <w:rPr>
                <w:rFonts w:asciiTheme="minorHAnsi" w:hAnsiTheme="minorHAnsi"/>
                <w:szCs w:val="24"/>
              </w:rPr>
              <w:lastRenderedPageBreak/>
              <w:t>CAPÍTULO IX</w:t>
            </w:r>
          </w:p>
          <w:p w:rsidR="00D37D80" w:rsidRPr="00D37D80" w:rsidRDefault="00D37D80" w:rsidP="00D37D80">
            <w:pPr>
              <w:pStyle w:val="Ttulo1"/>
              <w:ind w:right="6"/>
              <w:outlineLvl w:val="0"/>
              <w:rPr>
                <w:rFonts w:asciiTheme="minorHAnsi" w:hAnsiTheme="minorHAnsi"/>
                <w:szCs w:val="24"/>
              </w:rPr>
            </w:pPr>
            <w:r w:rsidRPr="00D37D80">
              <w:rPr>
                <w:rFonts w:asciiTheme="minorHAnsi" w:hAnsiTheme="minorHAnsi"/>
                <w:szCs w:val="24"/>
              </w:rPr>
              <w:t>DOS PRINCÍPIOS E DEVERES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16. As entidades </w:t>
            </w:r>
            <w:proofErr w:type="spellStart"/>
            <w:r w:rsidRPr="00D37D80">
              <w:rPr>
                <w:sz w:val="24"/>
                <w:szCs w:val="24"/>
              </w:rPr>
              <w:t>autorreguladoras</w:t>
            </w:r>
            <w:proofErr w:type="spellEnd"/>
            <w:r w:rsidRPr="00D37D80">
              <w:rPr>
                <w:sz w:val="24"/>
                <w:szCs w:val="24"/>
              </w:rPr>
              <w:t xml:space="preserve"> observarão, dentre outros, os princípios da probidade, publicidade, moralidade, eficiência, da ampla defesa, do contraditório, do devido processo legal, da economia processual, da razoabilidade, da proporcionalidade e os valores da urbanidade e da lealdade profissional.</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17. As entidades </w:t>
            </w:r>
            <w:proofErr w:type="spellStart"/>
            <w:r w:rsidRPr="00D37D80">
              <w:rPr>
                <w:sz w:val="24"/>
                <w:szCs w:val="24"/>
              </w:rPr>
              <w:t>autorreguladoras</w:t>
            </w:r>
            <w:proofErr w:type="spellEnd"/>
            <w:r w:rsidRPr="00D37D80">
              <w:rPr>
                <w:sz w:val="24"/>
                <w:szCs w:val="24"/>
              </w:rPr>
              <w:t xml:space="preserve"> deverão: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 - </w:t>
            </w:r>
            <w:proofErr w:type="gramStart"/>
            <w:r w:rsidRPr="00D37D80">
              <w:rPr>
                <w:sz w:val="24"/>
                <w:szCs w:val="24"/>
              </w:rPr>
              <w:t>aprovar</w:t>
            </w:r>
            <w:proofErr w:type="gramEnd"/>
            <w:r w:rsidRPr="00D37D80">
              <w:rPr>
                <w:sz w:val="24"/>
                <w:szCs w:val="24"/>
              </w:rPr>
              <w:t xml:space="preserve"> Código de Ética que contenha normas de conduta que disponham sobre as obrigações, restrições e impedimentos na atuação dos seus associados, dirigentes e contratados, prevendo sanções para a hipótese de seu descumprimento;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II - </w:t>
            </w:r>
            <w:proofErr w:type="gramStart"/>
            <w:r w:rsidRPr="00D37D80">
              <w:rPr>
                <w:sz w:val="24"/>
                <w:szCs w:val="24"/>
              </w:rPr>
              <w:t>promover</w:t>
            </w:r>
            <w:proofErr w:type="gramEnd"/>
            <w:r w:rsidRPr="00D37D80">
              <w:rPr>
                <w:sz w:val="24"/>
                <w:szCs w:val="24"/>
              </w:rPr>
              <w:t xml:space="preserve"> o aperfeiçoamento profissional dos seus associados, estimulando a adesão a programas de certificação e treinamento no mercado de corretagem de seguros;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III - zelar pela observância da legislação, em especial pelo respeito aos direitos do consumidor;</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IV - </w:t>
            </w:r>
            <w:proofErr w:type="gramStart"/>
            <w:r w:rsidRPr="00D37D80">
              <w:rPr>
                <w:sz w:val="24"/>
                <w:szCs w:val="24"/>
              </w:rPr>
              <w:t>manter</w:t>
            </w:r>
            <w:proofErr w:type="gramEnd"/>
            <w:r w:rsidRPr="00D37D80">
              <w:rPr>
                <w:sz w:val="24"/>
                <w:szCs w:val="24"/>
              </w:rPr>
              <w:t xml:space="preserve"> equilíbrio entre seus interesses, os da categoria e os interesses públicos a </w:t>
            </w:r>
            <w:r w:rsidRPr="00D37D80">
              <w:rPr>
                <w:sz w:val="24"/>
                <w:szCs w:val="24"/>
              </w:rPr>
              <w:lastRenderedPageBreak/>
              <w:t xml:space="preserve">que devem atender, como responsáveis pela promoção de boas práticas e pela </w:t>
            </w:r>
            <w:proofErr w:type="spellStart"/>
            <w:r w:rsidRPr="00D37D80">
              <w:rPr>
                <w:sz w:val="24"/>
                <w:szCs w:val="24"/>
              </w:rPr>
              <w:t>autorregulação</w:t>
            </w:r>
            <w:proofErr w:type="spellEnd"/>
            <w:r w:rsidRPr="00D37D80">
              <w:rPr>
                <w:sz w:val="24"/>
                <w:szCs w:val="24"/>
              </w:rPr>
              <w:t xml:space="preserve"> no mercado de corretagem;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V - </w:t>
            </w:r>
            <w:proofErr w:type="gramStart"/>
            <w:r w:rsidRPr="00D37D80">
              <w:rPr>
                <w:sz w:val="24"/>
                <w:szCs w:val="24"/>
              </w:rPr>
              <w:t>fiscalizar</w:t>
            </w:r>
            <w:proofErr w:type="gramEnd"/>
            <w:r w:rsidRPr="00D37D80">
              <w:rPr>
                <w:sz w:val="24"/>
                <w:szCs w:val="24"/>
              </w:rPr>
              <w:t>, processar, julgar e aplicar sanções aos membros do mercado de corretagem que lhes sejam associados, pelo descumprimento do seu respectivo código de ética, observados os princípios e regras processuais aplicáveis, na forma estatutária;</w:t>
            </w:r>
            <w:r w:rsidR="00D64FE9">
              <w:rPr>
                <w:sz w:val="24"/>
                <w:szCs w:val="24"/>
              </w:rPr>
              <w:t xml:space="preserve"> e</w:t>
            </w:r>
            <w:r w:rsidRPr="00D37D80">
              <w:rPr>
                <w:sz w:val="24"/>
                <w:szCs w:val="24"/>
              </w:rPr>
              <w:t xml:space="preserv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VI - </w:t>
            </w:r>
            <w:proofErr w:type="gramStart"/>
            <w:r w:rsidRPr="00D37D80">
              <w:rPr>
                <w:sz w:val="24"/>
                <w:szCs w:val="24"/>
              </w:rPr>
              <w:t>noticiar</w:t>
            </w:r>
            <w:proofErr w:type="gramEnd"/>
            <w:r w:rsidRPr="00D37D80">
              <w:rPr>
                <w:sz w:val="24"/>
                <w:szCs w:val="24"/>
              </w:rPr>
              <w:t xml:space="preserve"> ao Ministério Público sobre indícios de crime ou violação aos direitos do consumidor no âmbito do mercado de corretagem.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spacing w:line="360" w:lineRule="auto"/>
              <w:jc w:val="center"/>
              <w:rPr>
                <w:b/>
                <w:sz w:val="24"/>
                <w:szCs w:val="24"/>
              </w:rPr>
            </w:pPr>
            <w:r w:rsidRPr="00D37D80">
              <w:rPr>
                <w:b/>
                <w:sz w:val="24"/>
                <w:szCs w:val="24"/>
              </w:rPr>
              <w:t>CAPÍTULO X</w:t>
            </w:r>
          </w:p>
          <w:p w:rsidR="00D37D80" w:rsidRPr="00D37D80" w:rsidRDefault="00D37D80" w:rsidP="00D37D80">
            <w:pPr>
              <w:spacing w:line="360" w:lineRule="auto"/>
              <w:jc w:val="center"/>
              <w:rPr>
                <w:sz w:val="24"/>
                <w:szCs w:val="24"/>
              </w:rPr>
            </w:pPr>
            <w:r w:rsidRPr="00D37D80">
              <w:rPr>
                <w:b/>
                <w:sz w:val="24"/>
                <w:szCs w:val="24"/>
              </w:rPr>
              <w:t>DO PODER DISCIPLINAR DAS ENTIDADES AUTORREGULADORAS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18. As entidades </w:t>
            </w:r>
            <w:proofErr w:type="spellStart"/>
            <w:r w:rsidRPr="00D37D80">
              <w:rPr>
                <w:sz w:val="24"/>
                <w:szCs w:val="24"/>
              </w:rPr>
              <w:t>autorreguladoras</w:t>
            </w:r>
            <w:proofErr w:type="spellEnd"/>
            <w:r w:rsidRPr="00D37D80">
              <w:rPr>
                <w:sz w:val="24"/>
                <w:szCs w:val="24"/>
              </w:rPr>
              <w:t xml:space="preserve"> editarão normas de conduta profissional, ética e associativa, obrigatórias exclusivamente aos seus associados, dirigentes e empregados.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19. Observados os limites legais, as entidades </w:t>
            </w:r>
            <w:proofErr w:type="spellStart"/>
            <w:r w:rsidRPr="00D37D80">
              <w:rPr>
                <w:sz w:val="24"/>
                <w:szCs w:val="24"/>
              </w:rPr>
              <w:t>autorreguladoras</w:t>
            </w:r>
            <w:proofErr w:type="spellEnd"/>
            <w:r w:rsidRPr="00D37D80">
              <w:rPr>
                <w:sz w:val="24"/>
                <w:szCs w:val="24"/>
              </w:rPr>
              <w:t xml:space="preserve"> poderão fiscalizar todos os membros do mercado de corretagem, no que tange ao cumprimento </w:t>
            </w:r>
            <w:proofErr w:type="gramStart"/>
            <w:r w:rsidRPr="00D37D80">
              <w:rPr>
                <w:sz w:val="24"/>
                <w:szCs w:val="24"/>
              </w:rPr>
              <w:lastRenderedPageBreak/>
              <w:t>da  legislação</w:t>
            </w:r>
            <w:proofErr w:type="gramEnd"/>
            <w:r w:rsidRPr="00D37D80">
              <w:rPr>
                <w:sz w:val="24"/>
                <w:szCs w:val="24"/>
              </w:rPr>
              <w:t xml:space="preserve"> de seguros, do consumidor e de exigências éticas.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20. Caso tome conhecimento da prática de infração à legislação por membro do mercado de corretagem, a entidade </w:t>
            </w:r>
            <w:proofErr w:type="spellStart"/>
            <w:r w:rsidRPr="00D37D80">
              <w:rPr>
                <w:sz w:val="24"/>
                <w:szCs w:val="24"/>
              </w:rPr>
              <w:t>autorreguladora</w:t>
            </w:r>
            <w:proofErr w:type="spellEnd"/>
            <w:r w:rsidRPr="00D37D80">
              <w:rPr>
                <w:sz w:val="24"/>
                <w:szCs w:val="24"/>
              </w:rPr>
              <w:t xml:space="preserve"> deverá:</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 – </w:t>
            </w:r>
            <w:proofErr w:type="gramStart"/>
            <w:r w:rsidRPr="00D37D80">
              <w:rPr>
                <w:sz w:val="24"/>
                <w:szCs w:val="24"/>
              </w:rPr>
              <w:t>abrir</w:t>
            </w:r>
            <w:proofErr w:type="gramEnd"/>
            <w:r w:rsidRPr="00D37D80">
              <w:rPr>
                <w:sz w:val="24"/>
                <w:szCs w:val="24"/>
              </w:rPr>
              <w:t xml:space="preserve"> processo sancionar para apurar o fato, caso o infrator seja seu associado;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II – </w:t>
            </w:r>
            <w:proofErr w:type="gramStart"/>
            <w:r w:rsidRPr="00D37D80">
              <w:rPr>
                <w:sz w:val="24"/>
                <w:szCs w:val="24"/>
              </w:rPr>
              <w:t>noticiar</w:t>
            </w:r>
            <w:proofErr w:type="gramEnd"/>
            <w:r w:rsidRPr="00D37D80">
              <w:rPr>
                <w:sz w:val="24"/>
                <w:szCs w:val="24"/>
              </w:rPr>
              <w:t xml:space="preserve"> o fato à entidade </w:t>
            </w:r>
            <w:proofErr w:type="spellStart"/>
            <w:r w:rsidRPr="00D37D80">
              <w:rPr>
                <w:sz w:val="24"/>
                <w:szCs w:val="24"/>
              </w:rPr>
              <w:t>autorreguladora</w:t>
            </w:r>
            <w:proofErr w:type="spellEnd"/>
            <w:r w:rsidRPr="00D37D80">
              <w:rPr>
                <w:sz w:val="24"/>
                <w:szCs w:val="24"/>
              </w:rPr>
              <w:t xml:space="preserve"> a que o infrator estiver associado, se o caso;</w:t>
            </w:r>
            <w:r w:rsidR="00D64FE9">
              <w:rPr>
                <w:sz w:val="24"/>
                <w:szCs w:val="24"/>
              </w:rPr>
              <w:t xml:space="preserve"> e</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III – noticiar o fato ao Ministério Público, caso se trate de infração à legislação criminal ou do consumidor.</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21. A pena máxima a ser cominada é a exclusão do membro do mercado de corretagem dos quadros da entidade </w:t>
            </w:r>
            <w:proofErr w:type="spellStart"/>
            <w:r w:rsidRPr="00D37D80">
              <w:rPr>
                <w:sz w:val="24"/>
                <w:szCs w:val="24"/>
              </w:rPr>
              <w:t>autorreguladora</w:t>
            </w:r>
            <w:proofErr w:type="spellEnd"/>
            <w:r w:rsidRPr="00D37D80">
              <w:rPr>
                <w:sz w:val="24"/>
                <w:szCs w:val="24"/>
              </w:rPr>
              <w:t xml:space="preserve"> a que pertencer, por prazo não superior a 5 (cinco) anos, na forma do estatuto.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22. As sociedades corretoras, seguradoras, de capitalização e previdência complementar aberta deverão colaborar com as entidades </w:t>
            </w:r>
            <w:proofErr w:type="spellStart"/>
            <w:r w:rsidRPr="00D37D80">
              <w:rPr>
                <w:sz w:val="24"/>
                <w:szCs w:val="24"/>
              </w:rPr>
              <w:t>autorreguladoras</w:t>
            </w:r>
            <w:proofErr w:type="spellEnd"/>
            <w:r w:rsidRPr="00D37D80">
              <w:rPr>
                <w:sz w:val="24"/>
                <w:szCs w:val="24"/>
              </w:rPr>
              <w:t xml:space="preserve"> do mercado de corretagem, informando-lhes sobre atos praticados por membros do mercado de corretagem que supostamente violem as normas de conduta profissional ou </w:t>
            </w:r>
            <w:r w:rsidRPr="00D37D80">
              <w:rPr>
                <w:sz w:val="24"/>
                <w:szCs w:val="24"/>
              </w:rPr>
              <w:lastRenderedPageBreak/>
              <w:t>a legislação, bem como fornecendo documentos e subsídios úteis à sua apuração.</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pStyle w:val="Ttulo1"/>
              <w:ind w:right="6"/>
              <w:outlineLvl w:val="0"/>
              <w:rPr>
                <w:rFonts w:asciiTheme="minorHAnsi" w:hAnsiTheme="minorHAnsi"/>
                <w:szCs w:val="24"/>
              </w:rPr>
            </w:pPr>
            <w:r w:rsidRPr="00D37D80">
              <w:rPr>
                <w:rFonts w:asciiTheme="minorHAnsi" w:hAnsiTheme="minorHAnsi"/>
                <w:szCs w:val="24"/>
              </w:rPr>
              <w:t>CAPÍTULO XI</w:t>
            </w:r>
          </w:p>
          <w:p w:rsidR="00D37D80" w:rsidRPr="00D37D80" w:rsidRDefault="00D37D80" w:rsidP="00D37D80">
            <w:pPr>
              <w:pStyle w:val="Ttulo1"/>
              <w:ind w:right="6"/>
              <w:outlineLvl w:val="0"/>
              <w:rPr>
                <w:rFonts w:asciiTheme="minorHAnsi" w:hAnsiTheme="minorHAnsi"/>
                <w:szCs w:val="24"/>
              </w:rPr>
            </w:pPr>
            <w:r w:rsidRPr="00D37D80">
              <w:rPr>
                <w:rFonts w:asciiTheme="minorHAnsi" w:hAnsiTheme="minorHAnsi"/>
                <w:szCs w:val="24"/>
              </w:rPr>
              <w:t>DO CREDENCIAMENTO PERANTE A SUSEP</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7F5C6C" w:rsidRDefault="00D37D80" w:rsidP="002272E2">
            <w:pPr>
              <w:spacing w:after="3" w:line="249" w:lineRule="auto"/>
              <w:jc w:val="both"/>
              <w:rPr>
                <w:sz w:val="24"/>
                <w:szCs w:val="24"/>
              </w:rPr>
            </w:pPr>
            <w:r w:rsidRPr="007F5C6C">
              <w:rPr>
                <w:sz w:val="24"/>
                <w:szCs w:val="24"/>
              </w:rPr>
              <w:t xml:space="preserve">Art. 23. Para funcionar como entidade </w:t>
            </w:r>
            <w:proofErr w:type="spellStart"/>
            <w:r w:rsidRPr="007F5C6C">
              <w:rPr>
                <w:sz w:val="24"/>
                <w:szCs w:val="24"/>
              </w:rPr>
              <w:t>autorreguladora</w:t>
            </w:r>
            <w:proofErr w:type="spellEnd"/>
            <w:r w:rsidRPr="007F5C6C">
              <w:rPr>
                <w:sz w:val="24"/>
                <w:szCs w:val="24"/>
              </w:rPr>
              <w:t xml:space="preserve"> do mercado de corretagem, as entidades interessadas deverão formular pedido de credenciamento perante a SUSEP e comprovar que: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2272E2" w:rsidRPr="00E66FBE" w:rsidTr="00D37D80">
        <w:tc>
          <w:tcPr>
            <w:tcW w:w="4495" w:type="dxa"/>
          </w:tcPr>
          <w:p w:rsidR="002272E2" w:rsidRPr="007F5C6C" w:rsidRDefault="002272E2" w:rsidP="002272E2">
            <w:pPr>
              <w:spacing w:after="3" w:line="249" w:lineRule="auto"/>
              <w:jc w:val="both"/>
              <w:rPr>
                <w:sz w:val="24"/>
                <w:szCs w:val="24"/>
              </w:rPr>
            </w:pPr>
            <w:r w:rsidRPr="007F5C6C">
              <w:rPr>
                <w:sz w:val="24"/>
                <w:szCs w:val="24"/>
              </w:rPr>
              <w:t xml:space="preserve">I – </w:t>
            </w:r>
            <w:proofErr w:type="gramStart"/>
            <w:r w:rsidRPr="007F5C6C">
              <w:rPr>
                <w:sz w:val="24"/>
                <w:szCs w:val="24"/>
              </w:rPr>
              <w:t>estão</w:t>
            </w:r>
            <w:proofErr w:type="gramEnd"/>
            <w:r w:rsidRPr="007F5C6C">
              <w:rPr>
                <w:sz w:val="24"/>
                <w:szCs w:val="24"/>
              </w:rPr>
              <w:t xml:space="preserve"> devidamente constituídas na forma desta Resolução;</w:t>
            </w:r>
          </w:p>
        </w:tc>
        <w:tc>
          <w:tcPr>
            <w:tcW w:w="4765" w:type="dxa"/>
          </w:tcPr>
          <w:p w:rsidR="002272E2" w:rsidRPr="00D37D80" w:rsidRDefault="002272E2" w:rsidP="00D37D80">
            <w:pPr>
              <w:jc w:val="both"/>
              <w:rPr>
                <w:sz w:val="24"/>
                <w:szCs w:val="24"/>
              </w:rPr>
            </w:pPr>
          </w:p>
        </w:tc>
        <w:tc>
          <w:tcPr>
            <w:tcW w:w="4734" w:type="dxa"/>
          </w:tcPr>
          <w:p w:rsidR="002272E2" w:rsidRPr="00D37D80" w:rsidRDefault="002272E2" w:rsidP="00D37D80">
            <w:pPr>
              <w:jc w:val="both"/>
              <w:rPr>
                <w:sz w:val="24"/>
                <w:szCs w:val="24"/>
              </w:rPr>
            </w:pPr>
          </w:p>
        </w:tc>
      </w:tr>
      <w:tr w:rsidR="002272E2" w:rsidRPr="00E66FBE" w:rsidTr="00D37D80">
        <w:tc>
          <w:tcPr>
            <w:tcW w:w="4495" w:type="dxa"/>
          </w:tcPr>
          <w:p w:rsidR="002272E2" w:rsidRPr="007F5C6C" w:rsidRDefault="00D64FE9" w:rsidP="002272E2">
            <w:pPr>
              <w:spacing w:after="3" w:line="249" w:lineRule="auto"/>
              <w:jc w:val="both"/>
              <w:rPr>
                <w:sz w:val="24"/>
                <w:szCs w:val="24"/>
              </w:rPr>
            </w:pPr>
            <w:r w:rsidRPr="007F5C6C">
              <w:rPr>
                <w:sz w:val="24"/>
                <w:szCs w:val="24"/>
              </w:rPr>
              <w:t xml:space="preserve">II - </w:t>
            </w:r>
            <w:proofErr w:type="gramStart"/>
            <w:r w:rsidRPr="007F5C6C">
              <w:rPr>
                <w:sz w:val="24"/>
                <w:szCs w:val="24"/>
              </w:rPr>
              <w:t>possuem</w:t>
            </w:r>
            <w:proofErr w:type="gramEnd"/>
            <w:r w:rsidRPr="007F5C6C">
              <w:rPr>
                <w:sz w:val="24"/>
                <w:szCs w:val="24"/>
              </w:rPr>
              <w:t>, no mínimo, dez mil membros, situação a ser certificada por empresa de auditoria independente e de reconhecida idoneidade;</w:t>
            </w:r>
          </w:p>
        </w:tc>
        <w:tc>
          <w:tcPr>
            <w:tcW w:w="4765" w:type="dxa"/>
          </w:tcPr>
          <w:p w:rsidR="002272E2" w:rsidRPr="00D37D80" w:rsidRDefault="002272E2" w:rsidP="00D37D80">
            <w:pPr>
              <w:jc w:val="both"/>
              <w:rPr>
                <w:sz w:val="24"/>
                <w:szCs w:val="24"/>
              </w:rPr>
            </w:pPr>
          </w:p>
        </w:tc>
        <w:tc>
          <w:tcPr>
            <w:tcW w:w="4734" w:type="dxa"/>
          </w:tcPr>
          <w:p w:rsidR="002272E2" w:rsidRPr="00D37D80" w:rsidRDefault="002272E2" w:rsidP="00D37D80">
            <w:pPr>
              <w:jc w:val="both"/>
              <w:rPr>
                <w:sz w:val="24"/>
                <w:szCs w:val="24"/>
              </w:rPr>
            </w:pPr>
          </w:p>
        </w:tc>
      </w:tr>
      <w:tr w:rsidR="00D64FE9" w:rsidRPr="00E66FBE" w:rsidTr="00D37D80">
        <w:tc>
          <w:tcPr>
            <w:tcW w:w="4495" w:type="dxa"/>
          </w:tcPr>
          <w:p w:rsidR="00D64FE9" w:rsidRPr="007F5C6C" w:rsidRDefault="00D64FE9" w:rsidP="002272E2">
            <w:pPr>
              <w:spacing w:after="3" w:line="249" w:lineRule="auto"/>
              <w:jc w:val="both"/>
              <w:rPr>
                <w:sz w:val="24"/>
                <w:szCs w:val="24"/>
              </w:rPr>
            </w:pPr>
            <w:r w:rsidRPr="007F5C6C">
              <w:rPr>
                <w:sz w:val="24"/>
                <w:szCs w:val="24"/>
              </w:rPr>
              <w:t xml:space="preserve">III -tenham como objeto exclusivo a </w:t>
            </w:r>
            <w:proofErr w:type="spellStart"/>
            <w:r w:rsidRPr="007F5C6C">
              <w:rPr>
                <w:sz w:val="24"/>
                <w:szCs w:val="24"/>
              </w:rPr>
              <w:t>autorregulação</w:t>
            </w:r>
            <w:proofErr w:type="spellEnd"/>
            <w:r w:rsidRPr="007F5C6C">
              <w:rPr>
                <w:sz w:val="24"/>
                <w:szCs w:val="24"/>
              </w:rPr>
              <w:t>; e</w:t>
            </w:r>
          </w:p>
        </w:tc>
        <w:tc>
          <w:tcPr>
            <w:tcW w:w="4765" w:type="dxa"/>
          </w:tcPr>
          <w:p w:rsidR="00D64FE9" w:rsidRPr="00D37D80" w:rsidRDefault="00D64FE9" w:rsidP="00D37D80">
            <w:pPr>
              <w:jc w:val="both"/>
              <w:rPr>
                <w:sz w:val="24"/>
                <w:szCs w:val="24"/>
              </w:rPr>
            </w:pPr>
          </w:p>
        </w:tc>
        <w:tc>
          <w:tcPr>
            <w:tcW w:w="4734" w:type="dxa"/>
          </w:tcPr>
          <w:p w:rsidR="00D64FE9" w:rsidRPr="00D37D80" w:rsidRDefault="00D64FE9" w:rsidP="00D37D80">
            <w:pPr>
              <w:jc w:val="both"/>
              <w:rPr>
                <w:sz w:val="24"/>
                <w:szCs w:val="24"/>
              </w:rPr>
            </w:pPr>
          </w:p>
        </w:tc>
      </w:tr>
      <w:tr w:rsidR="00D64FE9" w:rsidRPr="00E66FBE" w:rsidTr="00D37D80">
        <w:tc>
          <w:tcPr>
            <w:tcW w:w="4495" w:type="dxa"/>
          </w:tcPr>
          <w:p w:rsidR="00D64FE9" w:rsidRPr="007F5C6C" w:rsidRDefault="00D64FE9" w:rsidP="00D64FE9">
            <w:pPr>
              <w:tabs>
                <w:tab w:val="left" w:pos="2595"/>
              </w:tabs>
              <w:spacing w:after="3" w:line="249" w:lineRule="auto"/>
              <w:jc w:val="both"/>
              <w:rPr>
                <w:sz w:val="24"/>
                <w:szCs w:val="24"/>
              </w:rPr>
            </w:pPr>
            <w:r w:rsidRPr="007F5C6C">
              <w:rPr>
                <w:sz w:val="24"/>
                <w:szCs w:val="24"/>
              </w:rPr>
              <w:t xml:space="preserve">IV - </w:t>
            </w:r>
            <w:proofErr w:type="gramStart"/>
            <w:r w:rsidRPr="007F5C6C">
              <w:rPr>
                <w:sz w:val="24"/>
                <w:szCs w:val="24"/>
              </w:rPr>
              <w:t>declarar</w:t>
            </w:r>
            <w:proofErr w:type="gramEnd"/>
            <w:r w:rsidRPr="007F5C6C">
              <w:rPr>
                <w:sz w:val="24"/>
                <w:szCs w:val="24"/>
              </w:rPr>
              <w:t xml:space="preserve"> que sempre que solicitados prestarão as informações solicitadas pela Susep. </w:t>
            </w:r>
          </w:p>
        </w:tc>
        <w:tc>
          <w:tcPr>
            <w:tcW w:w="4765" w:type="dxa"/>
          </w:tcPr>
          <w:p w:rsidR="00D64FE9" w:rsidRPr="00D37D80" w:rsidRDefault="00D64FE9" w:rsidP="00D37D80">
            <w:pPr>
              <w:jc w:val="both"/>
              <w:rPr>
                <w:sz w:val="24"/>
                <w:szCs w:val="24"/>
              </w:rPr>
            </w:pPr>
          </w:p>
        </w:tc>
        <w:tc>
          <w:tcPr>
            <w:tcW w:w="4734" w:type="dxa"/>
          </w:tcPr>
          <w:p w:rsidR="00D64FE9" w:rsidRPr="00D37D80" w:rsidRDefault="00D64FE9" w:rsidP="00D37D80">
            <w:pPr>
              <w:jc w:val="both"/>
              <w:rPr>
                <w:sz w:val="24"/>
                <w:szCs w:val="24"/>
              </w:rPr>
            </w:pPr>
          </w:p>
        </w:tc>
      </w:tr>
      <w:tr w:rsidR="002272E2" w:rsidRPr="00E66FBE" w:rsidTr="00D37D80">
        <w:tc>
          <w:tcPr>
            <w:tcW w:w="4495" w:type="dxa"/>
          </w:tcPr>
          <w:p w:rsidR="002272E2" w:rsidRPr="00D37D80" w:rsidRDefault="002272E2" w:rsidP="002272E2">
            <w:pPr>
              <w:spacing w:after="3" w:line="249" w:lineRule="auto"/>
              <w:jc w:val="both"/>
              <w:rPr>
                <w:sz w:val="24"/>
                <w:szCs w:val="24"/>
              </w:rPr>
            </w:pPr>
            <w:r w:rsidRPr="00D37D80">
              <w:rPr>
                <w:sz w:val="24"/>
                <w:szCs w:val="24"/>
              </w:rPr>
              <w:t>Parágrafo único. A comprovação de que trata o inciso II do caput deverá ser registrada perante o Cartório de Registro de Pessoas Jurídicas competente e atualizada a cada dois anos.</w:t>
            </w:r>
          </w:p>
        </w:tc>
        <w:tc>
          <w:tcPr>
            <w:tcW w:w="4765" w:type="dxa"/>
          </w:tcPr>
          <w:p w:rsidR="002272E2" w:rsidRPr="00D37D80" w:rsidRDefault="002272E2" w:rsidP="00D37D80">
            <w:pPr>
              <w:jc w:val="both"/>
              <w:rPr>
                <w:sz w:val="24"/>
                <w:szCs w:val="24"/>
              </w:rPr>
            </w:pPr>
          </w:p>
        </w:tc>
        <w:tc>
          <w:tcPr>
            <w:tcW w:w="4734" w:type="dxa"/>
          </w:tcPr>
          <w:p w:rsidR="002272E2" w:rsidRPr="00D37D80" w:rsidRDefault="002272E2" w:rsidP="00D37D80">
            <w:pPr>
              <w:jc w:val="both"/>
              <w:rPr>
                <w:sz w:val="24"/>
                <w:szCs w:val="24"/>
              </w:rPr>
            </w:pPr>
          </w:p>
        </w:tc>
      </w:tr>
      <w:tr w:rsidR="00D37D80" w:rsidRPr="00E66FBE" w:rsidTr="00D37D80">
        <w:tc>
          <w:tcPr>
            <w:tcW w:w="4495" w:type="dxa"/>
          </w:tcPr>
          <w:p w:rsidR="00D37D80" w:rsidRPr="00D37D80" w:rsidRDefault="00D37D80" w:rsidP="00D37D80">
            <w:pPr>
              <w:spacing w:line="360" w:lineRule="auto"/>
              <w:jc w:val="center"/>
              <w:rPr>
                <w:b/>
                <w:sz w:val="24"/>
                <w:szCs w:val="24"/>
              </w:rPr>
            </w:pPr>
            <w:r w:rsidRPr="00D37D80">
              <w:rPr>
                <w:b/>
                <w:sz w:val="24"/>
                <w:szCs w:val="24"/>
              </w:rPr>
              <w:lastRenderedPageBreak/>
              <w:t>CAPÍTULO XII</w:t>
            </w:r>
          </w:p>
          <w:p w:rsidR="00D37D80" w:rsidRPr="00D37D80" w:rsidRDefault="00D37D80" w:rsidP="00D37D80">
            <w:pPr>
              <w:spacing w:line="360" w:lineRule="auto"/>
              <w:jc w:val="center"/>
              <w:rPr>
                <w:sz w:val="24"/>
                <w:szCs w:val="24"/>
              </w:rPr>
            </w:pPr>
            <w:r w:rsidRPr="00D37D80">
              <w:rPr>
                <w:b/>
                <w:sz w:val="24"/>
                <w:szCs w:val="24"/>
              </w:rPr>
              <w:t>DO PODER DISCIPLINAR DA SUSEP SOBRE AS ENTIDADES AUTORREGULADORAS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2272E2">
            <w:pPr>
              <w:ind w:left="-5"/>
              <w:jc w:val="both"/>
              <w:rPr>
                <w:sz w:val="24"/>
                <w:szCs w:val="24"/>
              </w:rPr>
            </w:pPr>
            <w:r w:rsidRPr="00D37D80">
              <w:rPr>
                <w:sz w:val="24"/>
                <w:szCs w:val="24"/>
              </w:rPr>
              <w:t>Art. 24. Além do cancelamento do respectivo cre</w:t>
            </w:r>
            <w:bookmarkStart w:id="0" w:name="_GoBack"/>
            <w:bookmarkEnd w:id="0"/>
            <w:r w:rsidRPr="00D37D80">
              <w:rPr>
                <w:sz w:val="24"/>
                <w:szCs w:val="24"/>
              </w:rPr>
              <w:t xml:space="preserve">denciamento, as entidades </w:t>
            </w:r>
            <w:proofErr w:type="spellStart"/>
            <w:r w:rsidRPr="00D37D80">
              <w:rPr>
                <w:sz w:val="24"/>
                <w:szCs w:val="24"/>
              </w:rPr>
              <w:t>autorreguladoras</w:t>
            </w:r>
            <w:proofErr w:type="spellEnd"/>
            <w:r w:rsidRPr="00D37D80">
              <w:rPr>
                <w:sz w:val="24"/>
                <w:szCs w:val="24"/>
              </w:rPr>
              <w:t xml:space="preserve"> ficam sujeitas ao Poder Disciplinar da SUSEP quando atuarem em desconformidade com as exigências normativas, em especial as exigências da legislação de seguros e do consumidor, conforme previsão dos artigos 32, incisos XVII, XVIII e XIX, 36, alínea “k”, e 127-A do Decreto-Lei nº </w:t>
            </w:r>
            <w:r w:rsidR="002272E2">
              <w:rPr>
                <w:sz w:val="24"/>
                <w:szCs w:val="24"/>
              </w:rPr>
              <w:t xml:space="preserve">73, de 21 de novembro de 1966.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2272E2" w:rsidRPr="00E66FBE" w:rsidTr="00D37D80">
        <w:tc>
          <w:tcPr>
            <w:tcW w:w="4495" w:type="dxa"/>
          </w:tcPr>
          <w:p w:rsidR="002272E2" w:rsidRPr="00D37D80" w:rsidRDefault="002272E2" w:rsidP="00D37D80">
            <w:pPr>
              <w:ind w:left="-5"/>
              <w:jc w:val="both"/>
              <w:rPr>
                <w:sz w:val="24"/>
                <w:szCs w:val="24"/>
              </w:rPr>
            </w:pPr>
            <w:r w:rsidRPr="00D37D80">
              <w:rPr>
                <w:sz w:val="24"/>
                <w:szCs w:val="24"/>
              </w:rPr>
              <w:t>Parágrafo único. A SUSEP não exercerá nenhum poder disciplinar sobre os membros do mercado de corretagem.</w:t>
            </w:r>
          </w:p>
        </w:tc>
        <w:tc>
          <w:tcPr>
            <w:tcW w:w="4765" w:type="dxa"/>
          </w:tcPr>
          <w:p w:rsidR="002272E2" w:rsidRPr="00D37D80" w:rsidRDefault="002272E2" w:rsidP="00D37D80">
            <w:pPr>
              <w:jc w:val="both"/>
              <w:rPr>
                <w:sz w:val="24"/>
                <w:szCs w:val="24"/>
              </w:rPr>
            </w:pPr>
          </w:p>
        </w:tc>
        <w:tc>
          <w:tcPr>
            <w:tcW w:w="4734" w:type="dxa"/>
          </w:tcPr>
          <w:p w:rsidR="002272E2" w:rsidRPr="00D37D80" w:rsidRDefault="002272E2" w:rsidP="00D37D80">
            <w:pPr>
              <w:jc w:val="both"/>
              <w:rPr>
                <w:sz w:val="24"/>
                <w:szCs w:val="24"/>
              </w:rPr>
            </w:pPr>
          </w:p>
        </w:tc>
      </w:tr>
      <w:tr w:rsidR="00D37D80" w:rsidRPr="00E66FBE" w:rsidTr="00D37D80">
        <w:tc>
          <w:tcPr>
            <w:tcW w:w="4495" w:type="dxa"/>
          </w:tcPr>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t>CAPÍTULO XIII</w:t>
            </w:r>
          </w:p>
          <w:p w:rsidR="00D37D80" w:rsidRPr="00D37D80" w:rsidRDefault="00D37D80" w:rsidP="00D37D80">
            <w:pPr>
              <w:pStyle w:val="Ttulo1"/>
              <w:outlineLvl w:val="0"/>
              <w:rPr>
                <w:rFonts w:asciiTheme="minorHAnsi" w:hAnsiTheme="minorHAnsi"/>
                <w:szCs w:val="24"/>
              </w:rPr>
            </w:pPr>
            <w:r w:rsidRPr="00D37D80">
              <w:rPr>
                <w:rFonts w:asciiTheme="minorHAnsi" w:hAnsiTheme="minorHAnsi"/>
                <w:szCs w:val="24"/>
              </w:rPr>
              <w:t>DAS DISPOSIÇÕES FINAIS E TRANSITÓRIAS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25. Fica a SUSEP autorizada a expedir normas que sejam necessárias à complementação do disposto nesta Resolução. </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D37D80">
            <w:pPr>
              <w:ind w:left="-5"/>
              <w:jc w:val="both"/>
              <w:rPr>
                <w:sz w:val="24"/>
                <w:szCs w:val="24"/>
              </w:rPr>
            </w:pPr>
            <w:r w:rsidRPr="00D37D80">
              <w:rPr>
                <w:sz w:val="24"/>
                <w:szCs w:val="24"/>
              </w:rPr>
              <w:t xml:space="preserve">Art. 26. As entidades </w:t>
            </w:r>
            <w:proofErr w:type="spellStart"/>
            <w:r w:rsidRPr="00D37D80">
              <w:rPr>
                <w:sz w:val="24"/>
                <w:szCs w:val="24"/>
              </w:rPr>
              <w:t>autorreguladoras</w:t>
            </w:r>
            <w:proofErr w:type="spellEnd"/>
            <w:r w:rsidRPr="00D37D80">
              <w:rPr>
                <w:sz w:val="24"/>
                <w:szCs w:val="24"/>
              </w:rPr>
              <w:t xml:space="preserve"> do mercado de corretagem que já estejam registradas na SUSEP na data de vigência desta Resolução terão o prazo de cento e </w:t>
            </w:r>
            <w:r w:rsidRPr="00D37D80">
              <w:rPr>
                <w:sz w:val="24"/>
                <w:szCs w:val="24"/>
              </w:rPr>
              <w:lastRenderedPageBreak/>
              <w:t>oitenta dias para regularização das condições exigidas, período em que poderão exercer plenamente as suas competências.</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r w:rsidR="00D37D80" w:rsidRPr="00E66FBE" w:rsidTr="00D37D80">
        <w:tc>
          <w:tcPr>
            <w:tcW w:w="4495" w:type="dxa"/>
          </w:tcPr>
          <w:p w:rsidR="00D37D80" w:rsidRPr="00D37D80" w:rsidRDefault="00D37D80" w:rsidP="00A70A6E">
            <w:pPr>
              <w:ind w:left="-5"/>
              <w:jc w:val="both"/>
              <w:rPr>
                <w:sz w:val="24"/>
                <w:szCs w:val="24"/>
              </w:rPr>
            </w:pPr>
            <w:r w:rsidRPr="00D37D80">
              <w:rPr>
                <w:sz w:val="24"/>
                <w:szCs w:val="24"/>
              </w:rPr>
              <w:t>Art. 27. Esta Resolução entra em vigor na data de sua publicação, revogando-se a Resolução CNSP nº 233</w:t>
            </w:r>
            <w:r w:rsidR="00A70A6E">
              <w:rPr>
                <w:sz w:val="24"/>
                <w:szCs w:val="24"/>
              </w:rPr>
              <w:t>, de 1º de abril de 2011</w:t>
            </w:r>
            <w:r w:rsidRPr="00D37D80">
              <w:rPr>
                <w:sz w:val="24"/>
                <w:szCs w:val="24"/>
              </w:rPr>
              <w:t>.</w:t>
            </w:r>
          </w:p>
        </w:tc>
        <w:tc>
          <w:tcPr>
            <w:tcW w:w="4765" w:type="dxa"/>
          </w:tcPr>
          <w:p w:rsidR="00D37D80" w:rsidRPr="00D37D80" w:rsidRDefault="00D37D80" w:rsidP="00D37D80">
            <w:pPr>
              <w:jc w:val="both"/>
              <w:rPr>
                <w:sz w:val="24"/>
                <w:szCs w:val="24"/>
              </w:rPr>
            </w:pPr>
          </w:p>
        </w:tc>
        <w:tc>
          <w:tcPr>
            <w:tcW w:w="4734" w:type="dxa"/>
          </w:tcPr>
          <w:p w:rsidR="00D37D80" w:rsidRPr="00D37D80" w:rsidRDefault="00D37D80" w:rsidP="00D37D80">
            <w:pPr>
              <w:jc w:val="both"/>
              <w:rPr>
                <w:sz w:val="24"/>
                <w:szCs w:val="24"/>
              </w:rPr>
            </w:pPr>
          </w:p>
        </w:tc>
      </w:tr>
    </w:tbl>
    <w:p w:rsidR="00D37D80" w:rsidRPr="00D37D80" w:rsidRDefault="00D37D80"/>
    <w:sectPr w:rsidR="00D37D80" w:rsidRPr="00D37D80" w:rsidSect="00D37D8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80"/>
    <w:rsid w:val="002272E2"/>
    <w:rsid w:val="00354A98"/>
    <w:rsid w:val="007F5C6C"/>
    <w:rsid w:val="00A70A6E"/>
    <w:rsid w:val="00A92F2F"/>
    <w:rsid w:val="00D37D80"/>
    <w:rsid w:val="00D64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76325-6E43-44E0-AB54-EAD00AEF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D37D80"/>
    <w:pPr>
      <w:keepNext/>
      <w:keepLines/>
      <w:spacing w:after="0"/>
      <w:ind w:left="10" w:right="7" w:hanging="10"/>
      <w:jc w:val="center"/>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37D80"/>
    <w:rPr>
      <w:rFonts w:ascii="Times New Roman" w:eastAsia="Times New Roman" w:hAnsi="Times New Roman" w:cs="Times New Roman"/>
      <w:b/>
      <w:color w:val="000000"/>
      <w:sz w:val="24"/>
      <w:lang w:eastAsia="pt-BR"/>
    </w:rPr>
  </w:style>
  <w:style w:type="character" w:styleId="Forte">
    <w:name w:val="Strong"/>
    <w:basedOn w:val="Fontepargpadro"/>
    <w:uiPriority w:val="22"/>
    <w:qFormat/>
    <w:rsid w:val="00D37D80"/>
    <w:rPr>
      <w:b/>
      <w:bCs/>
    </w:rPr>
  </w:style>
  <w:style w:type="table" w:styleId="Tabelacomgrade">
    <w:name w:val="Table Grid"/>
    <w:basedOn w:val="Tabelanormal"/>
    <w:uiPriority w:val="39"/>
    <w:rsid w:val="00D3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272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7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16</Pages>
  <Words>2300</Words>
  <Characters>12425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Augusto Pinto Filho</dc:creator>
  <cp:keywords/>
  <dc:description/>
  <cp:lastModifiedBy>Carlos Augusto Pinto Filho</cp:lastModifiedBy>
  <cp:revision>2</cp:revision>
  <cp:lastPrinted>2020-01-16T20:07:00Z</cp:lastPrinted>
  <dcterms:created xsi:type="dcterms:W3CDTF">2020-01-16T19:48:00Z</dcterms:created>
  <dcterms:modified xsi:type="dcterms:W3CDTF">2020-01-17T13:02:00Z</dcterms:modified>
</cp:coreProperties>
</file>